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8064A2" w:themeFill="accent4"/>
        <w:tblLook w:val="04A0" w:firstRow="1" w:lastRow="0" w:firstColumn="1" w:lastColumn="0" w:noHBand="0" w:noVBand="1"/>
      </w:tblPr>
      <w:tblGrid>
        <w:gridCol w:w="9576"/>
      </w:tblGrid>
      <w:tr w:rsidR="00EF31BA" w:rsidTr="008E094A">
        <w:tc>
          <w:tcPr>
            <w:tcW w:w="9576" w:type="dxa"/>
            <w:shd w:val="clear" w:color="auto" w:fill="8064A2" w:themeFill="accent4"/>
          </w:tcPr>
          <w:p w:rsidR="00EF31BA" w:rsidRPr="008E094A" w:rsidRDefault="007651BB" w:rsidP="007651BB">
            <w:pPr>
              <w:rPr>
                <w:b/>
                <w:color w:val="FFFFFF" w:themeColor="background1"/>
              </w:rPr>
            </w:pPr>
            <w:bookmarkStart w:id="0" w:name="_GoBack"/>
            <w:bookmarkEnd w:id="0"/>
            <w:r w:rsidRPr="00E73454">
              <w:rPr>
                <w:b/>
                <w:color w:val="FFFFFF" w:themeColor="background1"/>
                <w:sz w:val="52"/>
              </w:rPr>
              <w:t>GASPS-API  - Step</w:t>
            </w:r>
            <w:r w:rsidR="00EF31BA" w:rsidRPr="00E73454">
              <w:rPr>
                <w:b/>
                <w:color w:val="FFFFFF" w:themeColor="background1"/>
                <w:sz w:val="52"/>
              </w:rPr>
              <w:t xml:space="preserve"> 3- </w:t>
            </w:r>
            <w:r w:rsidRPr="00E73454">
              <w:rPr>
                <w:b/>
                <w:color w:val="FFFFFF" w:themeColor="background1"/>
                <w:sz w:val="52"/>
              </w:rPr>
              <w:t>Planning Tip Sheet</w:t>
            </w:r>
            <w:r w:rsidR="00EF31BA" w:rsidRPr="00E73454">
              <w:rPr>
                <w:b/>
                <w:color w:val="FFFFFF" w:themeColor="background1"/>
                <w:sz w:val="52"/>
              </w:rPr>
              <w:t xml:space="preserve"> </w:t>
            </w:r>
          </w:p>
        </w:tc>
      </w:tr>
    </w:tbl>
    <w:p w:rsidR="008E094A" w:rsidRDefault="008E094A" w:rsidP="008E094A">
      <w:pPr>
        <w:spacing w:after="0"/>
        <w:rPr>
          <w:b/>
        </w:rPr>
      </w:pPr>
    </w:p>
    <w:p w:rsidR="0019643C" w:rsidRPr="0019643C" w:rsidRDefault="0019643C" w:rsidP="0019643C">
      <w:pPr>
        <w:rPr>
          <w:b/>
        </w:rPr>
      </w:pPr>
      <w:r>
        <w:rPr>
          <w:b/>
        </w:rPr>
        <w:t>State Priorities</w:t>
      </w:r>
    </w:p>
    <w:p w:rsidR="0019643C" w:rsidRDefault="0019643C" w:rsidP="0019643C">
      <w:r w:rsidRPr="000D0534">
        <w:t xml:space="preserve">As of May 31, 2013, the GASPS-API Goals are now referred to as State Priorities.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EC6D6D" w:rsidTr="00ED6433">
        <w:tc>
          <w:tcPr>
            <w:tcW w:w="9576" w:type="dxa"/>
          </w:tcPr>
          <w:p w:rsidR="00EC6D6D" w:rsidRPr="000D0534" w:rsidRDefault="00EC6D6D" w:rsidP="00DD3ACA">
            <w:pPr>
              <w:pStyle w:val="NormalWeb"/>
              <w:numPr>
                <w:ilvl w:val="0"/>
                <w:numId w:val="15"/>
              </w:numPr>
              <w:spacing w:before="0" w:beforeAutospacing="0" w:after="0" w:afterAutospacing="0"/>
              <w:jc w:val="both"/>
              <w:rPr>
                <w:color w:val="000000"/>
                <w:sz w:val="22"/>
                <w:szCs w:val="22"/>
              </w:rPr>
            </w:pPr>
            <w:r w:rsidRPr="000D0534">
              <w:rPr>
                <w:rFonts w:ascii="Calibri" w:hAnsi="Calibri"/>
                <w:bCs/>
                <w:color w:val="000000"/>
                <w:sz w:val="22"/>
                <w:szCs w:val="22"/>
              </w:rPr>
              <w:t>State Priority 1.</w:t>
            </w:r>
            <w:r w:rsidRPr="000D0534">
              <w:rPr>
                <w:rFonts w:ascii="Calibri" w:hAnsi="Calibri"/>
                <w:color w:val="000000"/>
                <w:sz w:val="22"/>
                <w:szCs w:val="22"/>
              </w:rPr>
              <w:t xml:space="preserve">   </w:t>
            </w:r>
            <w:r w:rsidRPr="000D0534">
              <w:rPr>
                <w:rFonts w:ascii="Calibri" w:hAnsi="Calibri"/>
                <w:bCs/>
                <w:color w:val="000000"/>
                <w:sz w:val="22"/>
                <w:szCs w:val="22"/>
              </w:rPr>
              <w:t>Reduce the early onset of alcohol use among 9-20 year olds</w:t>
            </w:r>
          </w:p>
          <w:p w:rsidR="00EC6D6D" w:rsidRPr="000D0534" w:rsidRDefault="00EC6D6D" w:rsidP="00DD3ACA">
            <w:pPr>
              <w:pStyle w:val="NormalWeb"/>
              <w:numPr>
                <w:ilvl w:val="0"/>
                <w:numId w:val="15"/>
              </w:numPr>
              <w:spacing w:before="0" w:beforeAutospacing="0" w:after="0" w:afterAutospacing="0"/>
              <w:jc w:val="both"/>
              <w:rPr>
                <w:color w:val="000000"/>
                <w:sz w:val="22"/>
                <w:szCs w:val="22"/>
              </w:rPr>
            </w:pPr>
            <w:r w:rsidRPr="000D0534">
              <w:rPr>
                <w:rFonts w:ascii="Calibri" w:hAnsi="Calibri"/>
                <w:bCs/>
                <w:color w:val="000000"/>
                <w:sz w:val="22"/>
                <w:szCs w:val="22"/>
              </w:rPr>
              <w:t>State Priority 2.</w:t>
            </w:r>
            <w:r w:rsidRPr="000D0534">
              <w:rPr>
                <w:rFonts w:ascii="Calibri" w:hAnsi="Calibri"/>
                <w:color w:val="000000"/>
                <w:sz w:val="22"/>
                <w:szCs w:val="22"/>
              </w:rPr>
              <w:t xml:space="preserve">   </w:t>
            </w:r>
            <w:r w:rsidRPr="000D0534">
              <w:rPr>
                <w:rFonts w:ascii="Calibri" w:hAnsi="Calibri"/>
                <w:bCs/>
                <w:color w:val="000000"/>
                <w:sz w:val="22"/>
                <w:szCs w:val="22"/>
              </w:rPr>
              <w:t>Reduce access to alcohol and binge drinking among 9-20 year olds</w:t>
            </w:r>
          </w:p>
          <w:p w:rsidR="00EC6D6D" w:rsidRPr="00EC6D6D" w:rsidRDefault="00EC6D6D" w:rsidP="00DD3ACA">
            <w:pPr>
              <w:pStyle w:val="NormalWeb"/>
              <w:numPr>
                <w:ilvl w:val="0"/>
                <w:numId w:val="15"/>
              </w:numPr>
              <w:spacing w:before="0" w:beforeAutospacing="0" w:after="0" w:afterAutospacing="0"/>
              <w:jc w:val="both"/>
              <w:rPr>
                <w:rFonts w:ascii="Calibri" w:hAnsi="Calibri"/>
                <w:bCs/>
                <w:color w:val="000000"/>
                <w:sz w:val="22"/>
                <w:szCs w:val="22"/>
              </w:rPr>
            </w:pPr>
            <w:r w:rsidRPr="000D0534">
              <w:rPr>
                <w:rFonts w:ascii="Calibri" w:hAnsi="Calibri"/>
                <w:bCs/>
                <w:color w:val="000000"/>
                <w:sz w:val="22"/>
                <w:szCs w:val="22"/>
              </w:rPr>
              <w:t>State Priority 3.</w:t>
            </w:r>
            <w:r w:rsidRPr="000D0534">
              <w:rPr>
                <w:rFonts w:ascii="Calibri" w:hAnsi="Calibri"/>
                <w:color w:val="000000"/>
                <w:sz w:val="22"/>
                <w:szCs w:val="22"/>
              </w:rPr>
              <w:t xml:space="preserve">   </w:t>
            </w:r>
            <w:r w:rsidRPr="000D0534">
              <w:rPr>
                <w:rFonts w:ascii="Calibri" w:hAnsi="Calibri"/>
                <w:bCs/>
                <w:color w:val="000000"/>
                <w:sz w:val="22"/>
                <w:szCs w:val="22"/>
              </w:rPr>
              <w:t>Reduce binge drinking and heavy drinking among 18-25 year olds</w:t>
            </w:r>
          </w:p>
        </w:tc>
      </w:tr>
    </w:tbl>
    <w:p w:rsidR="00EC6D6D" w:rsidRDefault="00EC6D6D" w:rsidP="008E094A">
      <w:pPr>
        <w:spacing w:after="0"/>
        <w:rPr>
          <w:b/>
        </w:rPr>
      </w:pPr>
    </w:p>
    <w:p w:rsidR="00B41A9C" w:rsidRPr="0031780D" w:rsidRDefault="00B41A9C" w:rsidP="00B41A9C">
      <w:pPr>
        <w:spacing w:after="0"/>
        <w:rPr>
          <w:b/>
        </w:rPr>
      </w:pPr>
      <w:r w:rsidRPr="0031780D">
        <w:rPr>
          <w:b/>
        </w:rPr>
        <w:t>Community Level Goals (1 per IV)</w:t>
      </w:r>
      <w:r w:rsidR="00DC7A35" w:rsidRPr="0031780D">
        <w:rPr>
          <w:b/>
        </w:rPr>
        <w:t xml:space="preserve"> (CLG)</w:t>
      </w:r>
    </w:p>
    <w:p w:rsidR="00D1525D" w:rsidRPr="0031780D" w:rsidRDefault="00D1525D" w:rsidP="00B41A9C">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D1525D" w:rsidRPr="0031780D" w:rsidTr="00B621EF">
        <w:tc>
          <w:tcPr>
            <w:tcW w:w="9576" w:type="dxa"/>
          </w:tcPr>
          <w:p w:rsidR="00D1525D" w:rsidRPr="0031780D" w:rsidRDefault="00D1525D" w:rsidP="00D1525D">
            <w:pPr>
              <w:pStyle w:val="ListParagraph"/>
              <w:numPr>
                <w:ilvl w:val="0"/>
                <w:numId w:val="22"/>
              </w:numPr>
            </w:pPr>
            <w:r w:rsidRPr="0031780D">
              <w:t>Goals are intended to be the end result of what you hope to achieve if the strategies are successful.</w:t>
            </w:r>
          </w:p>
          <w:p w:rsidR="00D1525D" w:rsidRPr="0031780D" w:rsidRDefault="00D1525D" w:rsidP="00D1525D">
            <w:pPr>
              <w:pStyle w:val="ListParagraph"/>
            </w:pPr>
          </w:p>
        </w:tc>
      </w:tr>
      <w:tr w:rsidR="00B41A9C" w:rsidRPr="00007464" w:rsidTr="00B621EF">
        <w:tc>
          <w:tcPr>
            <w:tcW w:w="9576" w:type="dxa"/>
          </w:tcPr>
          <w:p w:rsidR="00B41A9C" w:rsidRPr="0031780D" w:rsidRDefault="00B41A9C" w:rsidP="00D1525D">
            <w:pPr>
              <w:pStyle w:val="ListParagraph"/>
              <w:numPr>
                <w:ilvl w:val="0"/>
                <w:numId w:val="22"/>
              </w:numPr>
            </w:pPr>
            <w:r w:rsidRPr="0031780D">
              <w:t>Community Level Goals are derived from your approved Intervening Variables and should reflect the associated contributing factors.  You are not required to use the CF language verbatim; instead create a goal statement that speaks to the essence of both.</w:t>
            </w:r>
          </w:p>
          <w:p w:rsidR="00B41A9C" w:rsidRPr="0031780D" w:rsidRDefault="00B41A9C" w:rsidP="00B621EF">
            <w:pPr>
              <w:pStyle w:val="ListParagraph"/>
            </w:pPr>
          </w:p>
          <w:tbl>
            <w:tblPr>
              <w:tblStyle w:val="TableGrid"/>
              <w:tblW w:w="0" w:type="auto"/>
              <w:shd w:val="clear" w:color="auto" w:fill="EEECE1" w:themeFill="background2"/>
              <w:tblLook w:val="04A0" w:firstRow="1" w:lastRow="0" w:firstColumn="1" w:lastColumn="0" w:noHBand="0" w:noVBand="1"/>
            </w:tblPr>
            <w:tblGrid>
              <w:gridCol w:w="9345"/>
            </w:tblGrid>
            <w:tr w:rsidR="00B41A9C" w:rsidRPr="0031780D" w:rsidTr="00B621EF">
              <w:tc>
                <w:tcPr>
                  <w:tcW w:w="9345" w:type="dxa"/>
                  <w:shd w:val="clear" w:color="auto" w:fill="EEECE1" w:themeFill="background2"/>
                </w:tcPr>
                <w:p w:rsidR="00B41A9C" w:rsidRPr="0031780D" w:rsidRDefault="00B41A9C" w:rsidP="00B621EF">
                  <w:pPr>
                    <w:rPr>
                      <w:b/>
                    </w:rPr>
                  </w:pPr>
                  <w:r w:rsidRPr="0031780D">
                    <w:rPr>
                      <w:b/>
                    </w:rPr>
                    <w:t>EXAMPLE:</w:t>
                  </w:r>
                </w:p>
                <w:p w:rsidR="00B41A9C" w:rsidRPr="0031780D" w:rsidRDefault="00B41A9C" w:rsidP="00B621EF">
                  <w:pPr>
                    <w:rPr>
                      <w:b/>
                    </w:rPr>
                  </w:pPr>
                  <w:r w:rsidRPr="0031780D">
                    <w:rPr>
                      <w:b/>
                    </w:rPr>
                    <w:t>IV – Social Availability</w:t>
                  </w:r>
                </w:p>
                <w:p w:rsidR="00B41A9C" w:rsidRPr="0031780D" w:rsidRDefault="00B41A9C" w:rsidP="00B621EF">
                  <w:pPr>
                    <w:rPr>
                      <w:b/>
                    </w:rPr>
                  </w:pPr>
                  <w:r w:rsidRPr="0031780D">
                    <w:rPr>
                      <w:b/>
                    </w:rPr>
                    <w:t>CFs – Provision to minors; Shoulder Tapping</w:t>
                  </w:r>
                </w:p>
                <w:p w:rsidR="00B41A9C" w:rsidRPr="0031780D" w:rsidRDefault="00B41A9C" w:rsidP="00B621EF">
                  <w:pPr>
                    <w:rPr>
                      <w:b/>
                    </w:rPr>
                  </w:pPr>
                </w:p>
                <w:p w:rsidR="00B41A9C" w:rsidRPr="0031780D" w:rsidRDefault="00B41A9C" w:rsidP="00B621EF">
                  <w:pPr>
                    <w:rPr>
                      <w:b/>
                    </w:rPr>
                  </w:pPr>
                  <w:r w:rsidRPr="0031780D">
                    <w:rPr>
                      <w:b/>
                    </w:rPr>
                    <w:t xml:space="preserve">Possible Community Level Goal: </w:t>
                  </w:r>
                  <w:r w:rsidRPr="0031780D">
                    <w:t>Create a community where access to alcohol for underage youth is forbidden.</w:t>
                  </w:r>
                  <w:r w:rsidRPr="0031780D">
                    <w:rPr>
                      <w:b/>
                    </w:rPr>
                    <w:t xml:space="preserve">  </w:t>
                  </w:r>
                </w:p>
              </w:tc>
            </w:tr>
          </w:tbl>
          <w:p w:rsidR="00B41A9C" w:rsidRPr="0031780D" w:rsidRDefault="00B41A9C" w:rsidP="00B41A9C"/>
        </w:tc>
      </w:tr>
    </w:tbl>
    <w:p w:rsidR="00D1525D" w:rsidRPr="00D1525D" w:rsidRDefault="00D1525D" w:rsidP="00E6137E">
      <w:pPr>
        <w:rPr>
          <w:b/>
          <w:sz w:val="10"/>
        </w:rPr>
      </w:pPr>
    </w:p>
    <w:p w:rsidR="00E6137E" w:rsidRPr="00E6137E" w:rsidRDefault="00B41A9C" w:rsidP="00E6137E">
      <w:pPr>
        <w:rPr>
          <w:b/>
        </w:rPr>
      </w:pPr>
      <w:r>
        <w:rPr>
          <w:b/>
        </w:rPr>
        <w:t>C</w:t>
      </w:r>
      <w:r w:rsidR="006A7C2C" w:rsidRPr="00FA728E">
        <w:rPr>
          <w:b/>
        </w:rPr>
        <w:t>ompendium Related</w:t>
      </w:r>
    </w:p>
    <w:p w:rsidR="00892F81" w:rsidRPr="00EC6D6D" w:rsidRDefault="00892F81" w:rsidP="00EC6D6D">
      <w:pPr>
        <w:rPr>
          <w:b/>
        </w:rPr>
      </w:pPr>
      <w:r>
        <w:t>The compendium includes strategies for many of the CFs, yet not all of them. If there is not a strategy for a particular CF, providers</w:t>
      </w:r>
      <w:r w:rsidR="00E6137E">
        <w:t xml:space="preserve"> </w:t>
      </w:r>
      <w:r>
        <w:t>are instructed to search for an appropriate strategy. This can be done one of two ways:</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EC6D6D" w:rsidTr="00ED6433">
        <w:tc>
          <w:tcPr>
            <w:tcW w:w="9558" w:type="dxa"/>
          </w:tcPr>
          <w:p w:rsidR="00EC6D6D" w:rsidRPr="00EC6D6D" w:rsidRDefault="00EC6D6D" w:rsidP="00EC6D6D">
            <w:pPr>
              <w:pStyle w:val="ListParagraph"/>
              <w:numPr>
                <w:ilvl w:val="0"/>
                <w:numId w:val="14"/>
              </w:numPr>
              <w:rPr>
                <w:b/>
              </w:rPr>
            </w:pPr>
            <w:r>
              <w:t xml:space="preserve">Review the summaries for each strategy </w:t>
            </w:r>
            <w:r w:rsidRPr="00EC6D6D">
              <w:rPr>
                <w:b/>
              </w:rPr>
              <w:t>included in the compendium</w:t>
            </w:r>
            <w:r>
              <w:t xml:space="preserve">, regardless of the goal or IV/CF alignment noted. If after review and some preliminary research, a particular strategy seems appropriate, </w:t>
            </w:r>
            <w:r w:rsidR="00CA0348">
              <w:t xml:space="preserve">providers should </w:t>
            </w:r>
            <w:r>
              <w:t xml:space="preserve">write up a justification in the strategic plan that indicates why this strategy is appropriate to address </w:t>
            </w:r>
            <w:r w:rsidR="00CA0348">
              <w:t>the</w:t>
            </w:r>
            <w:r>
              <w:t xml:space="preserve"> respective CFs.</w:t>
            </w:r>
          </w:p>
          <w:p w:rsidR="00EC6D6D" w:rsidRDefault="00EC6D6D" w:rsidP="00EC6D6D">
            <w:pPr>
              <w:pStyle w:val="ListParagraph"/>
              <w:ind w:left="0"/>
              <w:rPr>
                <w:b/>
              </w:rPr>
            </w:pPr>
          </w:p>
        </w:tc>
      </w:tr>
      <w:tr w:rsidR="00EC6D6D" w:rsidTr="00ED6433">
        <w:tc>
          <w:tcPr>
            <w:tcW w:w="9558" w:type="dxa"/>
          </w:tcPr>
          <w:p w:rsidR="00EC6D6D" w:rsidRPr="00EC6D6D" w:rsidRDefault="00EC6D6D" w:rsidP="00EC6D6D">
            <w:pPr>
              <w:pStyle w:val="ListParagraph"/>
              <w:numPr>
                <w:ilvl w:val="0"/>
                <w:numId w:val="14"/>
              </w:numPr>
              <w:rPr>
                <w:b/>
              </w:rPr>
            </w:pPr>
            <w:r>
              <w:t xml:space="preserve">Use NREPP and/or the web to identify strategies that are </w:t>
            </w:r>
            <w:r w:rsidRPr="00EC6D6D">
              <w:rPr>
                <w:b/>
              </w:rPr>
              <w:t>not included in the compendium.</w:t>
            </w:r>
            <w:r>
              <w:t xml:space="preserve">  Once </w:t>
            </w:r>
            <w:r w:rsidR="00CA0348">
              <w:t>a strategy has been identified that</w:t>
            </w:r>
            <w:r>
              <w:t xml:space="preserve"> aligns with the CFs from </w:t>
            </w:r>
            <w:r w:rsidR="00CA0348">
              <w:t xml:space="preserve">the </w:t>
            </w:r>
            <w:r>
              <w:t xml:space="preserve">needs assessment, </w:t>
            </w:r>
            <w:r w:rsidR="00CA0348">
              <w:t xml:space="preserve">providers should </w:t>
            </w:r>
            <w:r w:rsidRPr="009967A0">
              <w:rPr>
                <w:b/>
              </w:rPr>
              <w:t>submit a strategy justification form</w:t>
            </w:r>
            <w:r>
              <w:t xml:space="preserve"> to make a case for why this strategy is appropriate to address </w:t>
            </w:r>
            <w:r w:rsidR="00CA0348">
              <w:t>the</w:t>
            </w:r>
            <w:r>
              <w:t xml:space="preserve"> respective CFs.</w:t>
            </w:r>
          </w:p>
          <w:p w:rsidR="00EC6D6D" w:rsidRDefault="00EC6D6D" w:rsidP="00EC6D6D">
            <w:pPr>
              <w:pStyle w:val="ListParagraph"/>
              <w:ind w:left="0"/>
              <w:rPr>
                <w:b/>
              </w:rPr>
            </w:pPr>
          </w:p>
        </w:tc>
      </w:tr>
    </w:tbl>
    <w:p w:rsidR="00231F2B" w:rsidRDefault="00231F2B" w:rsidP="00E6137E">
      <w:pPr>
        <w:rPr>
          <w:b/>
        </w:rPr>
      </w:pPr>
      <w:r w:rsidRPr="00E6137E">
        <w:rPr>
          <w:b/>
        </w:rPr>
        <w:t xml:space="preserve">Strategy </w:t>
      </w:r>
      <w:r w:rsidR="00FA728E" w:rsidRPr="00E6137E">
        <w:rPr>
          <w:b/>
        </w:rPr>
        <w:t xml:space="preserve">Selection </w:t>
      </w:r>
      <w:r w:rsidRPr="00E6137E">
        <w:rPr>
          <w:b/>
        </w:rPr>
        <w:t>Related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6398D" w:rsidTr="0066398D">
        <w:tc>
          <w:tcPr>
            <w:tcW w:w="9576" w:type="dxa"/>
          </w:tcPr>
          <w:p w:rsidR="004E5B77" w:rsidRPr="004E5B77" w:rsidRDefault="004E5B77" w:rsidP="004E5B77">
            <w:pPr>
              <w:pStyle w:val="ListParagraph"/>
              <w:numPr>
                <w:ilvl w:val="0"/>
                <w:numId w:val="3"/>
              </w:numPr>
              <w:rPr>
                <w:b/>
              </w:rPr>
            </w:pPr>
            <w:r w:rsidRPr="009967A0">
              <w:t xml:space="preserve">To best impact the State’s priorities, it is important to develop a comprehensive prevention portfolio. In line with the Public Health Epidemiological Triad, the OPSP defines a comprehensive </w:t>
            </w:r>
            <w:r w:rsidRPr="009967A0">
              <w:lastRenderedPageBreak/>
              <w:t xml:space="preserve">plan as strategies that impact the </w:t>
            </w:r>
            <w:r w:rsidRPr="009967A0">
              <w:rPr>
                <w:b/>
              </w:rPr>
              <w:t>host, agent and the environment</w:t>
            </w:r>
            <w:r w:rsidRPr="009967A0">
              <w:t>.</w:t>
            </w:r>
          </w:p>
          <w:p w:rsidR="004E5B77" w:rsidRDefault="004E5B77" w:rsidP="004E5B77">
            <w:pPr>
              <w:pStyle w:val="ListParagraph"/>
              <w:numPr>
                <w:ilvl w:val="0"/>
                <w:numId w:val="3"/>
              </w:numPr>
              <w:jc w:val="both"/>
            </w:pPr>
            <w:r>
              <w:t>As stated in the Strategic Plan outline, “…It is highly recommended that each provider to select two environmental strategies for every individual level strategy.” P. 1</w:t>
            </w:r>
          </w:p>
          <w:p w:rsidR="004E5B77" w:rsidRDefault="004E5B77" w:rsidP="004E5B77">
            <w:pPr>
              <w:pStyle w:val="ListParagraph"/>
              <w:jc w:val="both"/>
            </w:pPr>
          </w:p>
          <w:p w:rsidR="004E5B77" w:rsidRDefault="004E5B77" w:rsidP="004E5B77">
            <w:pPr>
              <w:pStyle w:val="ListParagraph"/>
              <w:numPr>
                <w:ilvl w:val="0"/>
                <w:numId w:val="3"/>
              </w:numPr>
              <w:jc w:val="both"/>
            </w:pPr>
            <w:r>
              <w:t xml:space="preserve"> If a provider desires to </w:t>
            </w:r>
            <w:r w:rsidRPr="004E5B77">
              <w:rPr>
                <w:b/>
              </w:rPr>
              <w:t>only</w:t>
            </w:r>
            <w:r>
              <w:t xml:space="preserve"> do environmental strategies, they will need to provide justification in their Strategic Plan that outlines how their selection of strategies addresses the host, agent and environment. </w:t>
            </w:r>
          </w:p>
          <w:p w:rsidR="004E5B77" w:rsidRPr="00795AC3" w:rsidRDefault="004E5B77" w:rsidP="004E5B77">
            <w:pPr>
              <w:pStyle w:val="ListParagraph"/>
              <w:jc w:val="both"/>
            </w:pPr>
          </w:p>
          <w:p w:rsidR="00882C2E" w:rsidRPr="00E73454" w:rsidRDefault="0066398D" w:rsidP="00795AC3">
            <w:pPr>
              <w:pStyle w:val="ListParagraph"/>
              <w:numPr>
                <w:ilvl w:val="0"/>
                <w:numId w:val="3"/>
              </w:numPr>
              <w:jc w:val="both"/>
            </w:pPr>
            <w:r w:rsidRPr="00795AC3">
              <w:rPr>
                <w:rFonts w:cs="Arial"/>
                <w:shd w:val="clear" w:color="auto" w:fill="FFFFFF"/>
              </w:rPr>
              <w:t xml:space="preserve">Strategies align with the CFs. </w:t>
            </w:r>
            <w:r w:rsidR="00882C2E" w:rsidRPr="00795AC3">
              <w:rPr>
                <w:iCs/>
              </w:rPr>
              <w:t xml:space="preserve">Based on the data collected during the needs </w:t>
            </w:r>
            <w:r w:rsidR="007817DB">
              <w:rPr>
                <w:iCs/>
              </w:rPr>
              <w:t>assessment;</w:t>
            </w:r>
            <w:r w:rsidR="004E5B77">
              <w:rPr>
                <w:iCs/>
              </w:rPr>
              <w:t xml:space="preserve"> </w:t>
            </w:r>
            <w:r w:rsidR="00882C2E" w:rsidRPr="00795AC3">
              <w:rPr>
                <w:iCs/>
              </w:rPr>
              <w:t>p</w:t>
            </w:r>
            <w:r w:rsidR="00880E3D" w:rsidRPr="00795AC3">
              <w:rPr>
                <w:iCs/>
              </w:rPr>
              <w:t xml:space="preserve">roviders have the opportunity </w:t>
            </w:r>
            <w:r w:rsidR="00882C2E" w:rsidRPr="00795AC3">
              <w:rPr>
                <w:iCs/>
              </w:rPr>
              <w:t xml:space="preserve">to define what their CF actually means for their communities. In doing so, providers will be able to select the strategies that most reflect what emerged in the data. </w:t>
            </w:r>
          </w:p>
          <w:p w:rsidR="00E73454" w:rsidRPr="00795AC3" w:rsidRDefault="00E73454" w:rsidP="00E73454">
            <w:pPr>
              <w:jc w:val="both"/>
            </w:pPr>
          </w:p>
          <w:tbl>
            <w:tblPr>
              <w:tblStyle w:val="TableGrid"/>
              <w:tblW w:w="0" w:type="auto"/>
              <w:shd w:val="clear" w:color="auto" w:fill="EEECE1" w:themeFill="background2"/>
              <w:tblLook w:val="04A0" w:firstRow="1" w:lastRow="0" w:firstColumn="1" w:lastColumn="0" w:noHBand="0" w:noVBand="1"/>
            </w:tblPr>
            <w:tblGrid>
              <w:gridCol w:w="9350"/>
            </w:tblGrid>
            <w:tr w:rsidR="00882C2E" w:rsidTr="00795AC3">
              <w:tc>
                <w:tcPr>
                  <w:tcW w:w="9355" w:type="dxa"/>
                  <w:shd w:val="clear" w:color="auto" w:fill="EEECE1" w:themeFill="background2"/>
                </w:tcPr>
                <w:p w:rsidR="00882C2E" w:rsidRDefault="00882C2E" w:rsidP="00882C2E">
                  <w:pPr>
                    <w:pStyle w:val="ListParagraph"/>
                    <w:ind w:left="0"/>
                    <w:rPr>
                      <w:b/>
                    </w:rPr>
                  </w:pPr>
                  <w:r w:rsidRPr="00882C2E">
                    <w:rPr>
                      <w:b/>
                    </w:rPr>
                    <w:t>EXAMPLE</w:t>
                  </w:r>
                </w:p>
                <w:p w:rsidR="00882C2E" w:rsidRDefault="00882C2E" w:rsidP="00882C2E">
                  <w:pPr>
                    <w:pStyle w:val="ListParagraph"/>
                    <w:ind w:left="0"/>
                    <w:rPr>
                      <w:b/>
                    </w:rPr>
                  </w:pPr>
                </w:p>
                <w:p w:rsidR="00882C2E" w:rsidRDefault="00042376" w:rsidP="00882C2E">
                  <w:pPr>
                    <w:pStyle w:val="ListParagraph"/>
                    <w:ind w:left="0"/>
                    <w:rPr>
                      <w:b/>
                    </w:rPr>
                  </w:pPr>
                  <w:r>
                    <w:rPr>
                      <w:b/>
                    </w:rPr>
                    <w:t xml:space="preserve">Cultural Acceptability is a pre-selected contributing factor associated with the intervening variable Social Community Norms.  </w:t>
                  </w:r>
                  <w:r w:rsidR="00404D91">
                    <w:rPr>
                      <w:b/>
                    </w:rPr>
                    <w:t xml:space="preserve">From your needs assessment, the data may suggest that the use of alcohol for underage youth is viewed as a Rite of Passage for this community.  If this is the case, you may elect to identify a strategy that specifically </w:t>
                  </w:r>
                  <w:r w:rsidR="004E5B77">
                    <w:rPr>
                      <w:b/>
                    </w:rPr>
                    <w:t>addresses this</w:t>
                  </w:r>
                  <w:r w:rsidR="00404D91">
                    <w:rPr>
                      <w:b/>
                    </w:rPr>
                    <w:t xml:space="preserve"> concept of Rite of Passage. On the other hand, you may find that a strategy that </w:t>
                  </w:r>
                  <w:r w:rsidR="004E5B77">
                    <w:rPr>
                      <w:b/>
                    </w:rPr>
                    <w:t xml:space="preserve">tackles </w:t>
                  </w:r>
                  <w:r w:rsidR="00404D91">
                    <w:rPr>
                      <w:b/>
                    </w:rPr>
                    <w:t xml:space="preserve">Cultural </w:t>
                  </w:r>
                  <w:r w:rsidR="004E5B77">
                    <w:rPr>
                      <w:b/>
                    </w:rPr>
                    <w:t xml:space="preserve">Acceptability, in general, </w:t>
                  </w:r>
                  <w:r w:rsidR="00404D91">
                    <w:rPr>
                      <w:b/>
                    </w:rPr>
                    <w:t xml:space="preserve">sufficiently gets at this construct. </w:t>
                  </w:r>
                </w:p>
                <w:p w:rsidR="00795AC3" w:rsidRDefault="00795AC3" w:rsidP="00882C2E">
                  <w:pPr>
                    <w:pStyle w:val="ListParagraph"/>
                    <w:ind w:left="0"/>
                    <w:rPr>
                      <w:b/>
                    </w:rPr>
                  </w:pPr>
                </w:p>
                <w:p w:rsidR="00404D91" w:rsidRPr="00795AC3" w:rsidRDefault="00795AC3" w:rsidP="00795AC3">
                  <w:pPr>
                    <w:pStyle w:val="ListParagraph"/>
                    <w:ind w:left="0"/>
                    <w:rPr>
                      <w:b/>
                    </w:rPr>
                  </w:pPr>
                  <w:r>
                    <w:t>The point here is to use your data to help you define CF and select your strategies.  This will correspond with the Strategic Plan Development Tool (SPDT</w:t>
                  </w:r>
                  <w:proofErr w:type="gramStart"/>
                  <w:r>
                    <w:t>) which</w:t>
                  </w:r>
                  <w:proofErr w:type="gramEnd"/>
                  <w:r>
                    <w:t xml:space="preserve"> asks for the data sources to support the selection of the CF(s). Also, to help the reader, please provide a brief description of how you defined your CFs in the narrative portion of your Strategic Plan.</w:t>
                  </w:r>
                </w:p>
              </w:tc>
            </w:tr>
          </w:tbl>
          <w:p w:rsidR="00882C2E" w:rsidRPr="00882C2E" w:rsidRDefault="00882C2E" w:rsidP="00882C2E">
            <w:pPr>
              <w:pStyle w:val="ListParagraph"/>
            </w:pPr>
          </w:p>
          <w:p w:rsidR="0066398D" w:rsidRPr="00795AC3" w:rsidRDefault="0066398D" w:rsidP="0066398D">
            <w:pPr>
              <w:pStyle w:val="ListParagraph"/>
              <w:numPr>
                <w:ilvl w:val="0"/>
                <w:numId w:val="3"/>
              </w:numPr>
            </w:pPr>
            <w:r w:rsidRPr="009967A0">
              <w:rPr>
                <w:rFonts w:cs="Arial"/>
                <w:color w:val="222222"/>
                <w:shd w:val="clear" w:color="auto" w:fill="FFFFFF"/>
              </w:rPr>
              <w:t>There are instances when one strategy can cross multiple CFs and IVs.</w:t>
            </w:r>
          </w:p>
          <w:p w:rsidR="00795AC3" w:rsidRPr="009967A0" w:rsidRDefault="00795AC3" w:rsidP="00795AC3">
            <w:pPr>
              <w:pStyle w:val="ListParagraph"/>
            </w:pPr>
          </w:p>
        </w:tc>
      </w:tr>
      <w:tr w:rsidR="0066398D" w:rsidTr="0066398D">
        <w:tc>
          <w:tcPr>
            <w:tcW w:w="9576" w:type="dxa"/>
          </w:tcPr>
          <w:p w:rsidR="0066398D" w:rsidRPr="00795AC3" w:rsidRDefault="0066398D" w:rsidP="0066398D">
            <w:pPr>
              <w:pStyle w:val="ListParagraph"/>
              <w:numPr>
                <w:ilvl w:val="0"/>
                <w:numId w:val="3"/>
              </w:numPr>
              <w:rPr>
                <w:b/>
              </w:rPr>
            </w:pPr>
            <w:r w:rsidRPr="009967A0">
              <w:lastRenderedPageBreak/>
              <w:t>Use the compendium as an initial guide to select strategies that align with each of the CFs in the approved Needs Assessment.</w:t>
            </w:r>
          </w:p>
          <w:p w:rsidR="00795AC3" w:rsidRPr="009967A0" w:rsidRDefault="00795AC3" w:rsidP="00795AC3">
            <w:pPr>
              <w:pStyle w:val="ListParagraph"/>
              <w:rPr>
                <w:b/>
              </w:rPr>
            </w:pPr>
          </w:p>
        </w:tc>
      </w:tr>
      <w:tr w:rsidR="00DD3ACA" w:rsidTr="0066398D">
        <w:tc>
          <w:tcPr>
            <w:tcW w:w="9576" w:type="dxa"/>
          </w:tcPr>
          <w:p w:rsidR="00DD3ACA" w:rsidRPr="00795AC3" w:rsidRDefault="00DD3ACA" w:rsidP="00DD3ACA">
            <w:pPr>
              <w:pStyle w:val="ListParagraph"/>
              <w:numPr>
                <w:ilvl w:val="0"/>
                <w:numId w:val="3"/>
              </w:numPr>
              <w:rPr>
                <w:b/>
              </w:rPr>
            </w:pPr>
            <w:r w:rsidRPr="00795AC3">
              <w:t>In the case where providers have a number of CFs with greater than 3 strategies, OPSP has suggested that providers focus on the top 3 strategies that are most feasible and comprehensive to work on during the first year.</w:t>
            </w:r>
          </w:p>
          <w:p w:rsidR="00DD3ACA" w:rsidRPr="00795AC3" w:rsidRDefault="00DD3ACA" w:rsidP="00E6137E">
            <w:pPr>
              <w:rPr>
                <w:b/>
              </w:rPr>
            </w:pPr>
          </w:p>
        </w:tc>
      </w:tr>
      <w:tr w:rsidR="00DD3ACA" w:rsidTr="0066398D">
        <w:tc>
          <w:tcPr>
            <w:tcW w:w="9576" w:type="dxa"/>
          </w:tcPr>
          <w:p w:rsidR="00DD3ACA" w:rsidRPr="00795AC3" w:rsidRDefault="00DD3ACA" w:rsidP="00DD3ACA">
            <w:pPr>
              <w:pStyle w:val="ListParagraph"/>
              <w:numPr>
                <w:ilvl w:val="0"/>
                <w:numId w:val="3"/>
              </w:numPr>
              <w:rPr>
                <w:b/>
              </w:rPr>
            </w:pPr>
            <w:r w:rsidRPr="00795AC3">
              <w:t xml:space="preserve">If a provider has 3 IVs, OPSP has indicated that providers can choose to work on two (2) IV as long as it is comprehensive (i.e. host, agent, </w:t>
            </w:r>
            <w:proofErr w:type="gramStart"/>
            <w:r w:rsidRPr="00795AC3">
              <w:t>environment</w:t>
            </w:r>
            <w:proofErr w:type="gramEnd"/>
            <w:r w:rsidRPr="00795AC3">
              <w:t>).</w:t>
            </w:r>
          </w:p>
          <w:p w:rsidR="00DD3ACA" w:rsidRPr="00795AC3" w:rsidRDefault="00DD3ACA" w:rsidP="00E6137E">
            <w:pPr>
              <w:rPr>
                <w:b/>
              </w:rPr>
            </w:pPr>
          </w:p>
        </w:tc>
      </w:tr>
      <w:tr w:rsidR="00DD3ACA" w:rsidTr="0066398D">
        <w:tc>
          <w:tcPr>
            <w:tcW w:w="9576" w:type="dxa"/>
          </w:tcPr>
          <w:p w:rsidR="00DD3ACA" w:rsidRPr="00A44D72" w:rsidRDefault="00DD3ACA" w:rsidP="00A44D72">
            <w:pPr>
              <w:pStyle w:val="ListParagraph"/>
              <w:numPr>
                <w:ilvl w:val="0"/>
                <w:numId w:val="3"/>
              </w:numPr>
              <w:rPr>
                <w:b/>
              </w:rPr>
            </w:pPr>
            <w:r w:rsidRPr="00972F0E">
              <w:t xml:space="preserve">Once a strategy has been identified, providers are responsible for conducting additional research on each proposed strategy. </w:t>
            </w:r>
            <w:r>
              <w:t xml:space="preserve">This will help to determine if the strategy is culturally appropriate for </w:t>
            </w:r>
            <w:r w:rsidR="00CA0348">
              <w:t xml:space="preserve">the </w:t>
            </w:r>
            <w:r>
              <w:t xml:space="preserve">community. </w:t>
            </w:r>
          </w:p>
          <w:p w:rsidR="00A44D72" w:rsidRDefault="00A44D72" w:rsidP="00A44D72">
            <w:pPr>
              <w:rPr>
                <w:b/>
              </w:rPr>
            </w:pPr>
          </w:p>
          <w:tbl>
            <w:tblPr>
              <w:tblStyle w:val="TableGrid"/>
              <w:tblW w:w="0" w:type="auto"/>
              <w:shd w:val="clear" w:color="auto" w:fill="EEECE1" w:themeFill="background2"/>
              <w:tblLook w:val="04A0" w:firstRow="1" w:lastRow="0" w:firstColumn="1" w:lastColumn="0" w:noHBand="0" w:noVBand="1"/>
            </w:tblPr>
            <w:tblGrid>
              <w:gridCol w:w="9350"/>
            </w:tblGrid>
            <w:tr w:rsidR="00A44D72" w:rsidTr="00B41A9C">
              <w:tc>
                <w:tcPr>
                  <w:tcW w:w="9350" w:type="dxa"/>
                  <w:shd w:val="clear" w:color="auto" w:fill="EEECE1" w:themeFill="background2"/>
                </w:tcPr>
                <w:p w:rsidR="00A44D72" w:rsidRDefault="00A44D72" w:rsidP="00A44D72">
                  <w:pPr>
                    <w:pStyle w:val="ListParagraph"/>
                    <w:ind w:left="0"/>
                    <w:rPr>
                      <w:b/>
                    </w:rPr>
                  </w:pPr>
                  <w:r>
                    <w:rPr>
                      <w:b/>
                    </w:rPr>
                    <w:t>EXAMPLE</w:t>
                  </w:r>
                </w:p>
                <w:p w:rsidR="00A44D72" w:rsidRDefault="00A44D72" w:rsidP="00A44D72">
                  <w:pPr>
                    <w:pStyle w:val="ListParagraph"/>
                    <w:ind w:left="0"/>
                    <w:rPr>
                      <w:b/>
                    </w:rPr>
                  </w:pPr>
                </w:p>
                <w:p w:rsidR="00A44D72" w:rsidRDefault="00A44D72" w:rsidP="00A44D72">
                  <w:pPr>
                    <w:rPr>
                      <w:b/>
                    </w:rPr>
                  </w:pPr>
                  <w:r>
                    <w:t xml:space="preserve">A strategy that has been tested primarily in urban settings may or may not translate as well in other settings. This could also relate to ethnicity as well.  If this is the case, providers are encouraged to contact the developer to discuss ways to adapt the strategy. </w:t>
                  </w:r>
                </w:p>
              </w:tc>
            </w:tr>
          </w:tbl>
          <w:p w:rsidR="00A44D72" w:rsidRDefault="00A44D72" w:rsidP="00A44D72">
            <w:pPr>
              <w:pStyle w:val="ListParagraph"/>
              <w:rPr>
                <w:b/>
              </w:rPr>
            </w:pPr>
          </w:p>
        </w:tc>
      </w:tr>
      <w:tr w:rsidR="00A44D72" w:rsidTr="0066398D">
        <w:tc>
          <w:tcPr>
            <w:tcW w:w="9576" w:type="dxa"/>
          </w:tcPr>
          <w:p w:rsidR="00A44D72" w:rsidRPr="00A44D72" w:rsidRDefault="00A44D72" w:rsidP="00A44D72">
            <w:pPr>
              <w:pStyle w:val="ListParagraph"/>
              <w:rPr>
                <w:b/>
              </w:rPr>
            </w:pPr>
          </w:p>
          <w:p w:rsidR="00A44D72" w:rsidRPr="00A44D72" w:rsidRDefault="00A44D72" w:rsidP="00A44D72">
            <w:pPr>
              <w:pStyle w:val="ListParagraph"/>
              <w:numPr>
                <w:ilvl w:val="0"/>
                <w:numId w:val="19"/>
              </w:numPr>
              <w:rPr>
                <w:b/>
              </w:rPr>
            </w:pPr>
            <w:r>
              <w:t xml:space="preserve">Researching the strategy is also important to understand how to best implement the strategy. This information will fold into the Strategic Plan Development Tool&gt;&gt;Strategy Activities. </w:t>
            </w:r>
          </w:p>
          <w:p w:rsidR="00A44D72" w:rsidRDefault="00A44D72" w:rsidP="007D3D6D">
            <w:pPr>
              <w:rPr>
                <w:b/>
              </w:rPr>
            </w:pPr>
          </w:p>
        </w:tc>
      </w:tr>
    </w:tbl>
    <w:p w:rsidR="007D3D6D" w:rsidRDefault="007D3D6D" w:rsidP="007D3D6D">
      <w:pPr>
        <w:rPr>
          <w:b/>
        </w:rPr>
      </w:pPr>
      <w:r w:rsidRPr="0019643C">
        <w:rPr>
          <w:b/>
        </w:rPr>
        <w:t>Enforcement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D3D6D" w:rsidTr="006F1E3D">
        <w:tc>
          <w:tcPr>
            <w:tcW w:w="9576" w:type="dxa"/>
          </w:tcPr>
          <w:p w:rsidR="007D3D6D" w:rsidRDefault="007D3D6D" w:rsidP="00C72E83">
            <w:pPr>
              <w:pStyle w:val="ListParagraph"/>
              <w:numPr>
                <w:ilvl w:val="0"/>
                <w:numId w:val="8"/>
              </w:numPr>
              <w:rPr>
                <w:b/>
              </w:rPr>
            </w:pPr>
            <w:r>
              <w:t xml:space="preserve">As previously stated, in order for environmental strategies to be effective, there must be enforcement. That being said, </w:t>
            </w:r>
            <w:r w:rsidR="002C2E92">
              <w:t xml:space="preserve">law enforcement </w:t>
            </w:r>
            <w:r w:rsidR="00C72E83">
              <w:t xml:space="preserve">should be viewed as a key resource to success of any environmental strategy.  </w:t>
            </w:r>
            <w:r>
              <w:t xml:space="preserve">For examples on how to best do this, </w:t>
            </w:r>
            <w:r w:rsidR="00CA0348">
              <w:t>provider</w:t>
            </w:r>
            <w:r w:rsidR="00C72E83">
              <w:t>s</w:t>
            </w:r>
            <w:r w:rsidR="00CA0348">
              <w:t xml:space="preserve"> should </w:t>
            </w:r>
            <w:r>
              <w:t xml:space="preserve">refer back to </w:t>
            </w:r>
            <w:r w:rsidR="00CA0348">
              <w:t xml:space="preserve">their </w:t>
            </w:r>
            <w:r>
              <w:t>Capacity Plan</w:t>
            </w:r>
            <w:r w:rsidR="00C72E83">
              <w:t>, particularly the IV/CF Resource/Capacity Gaps section</w:t>
            </w:r>
            <w:r>
              <w:t xml:space="preserve"> to see how </w:t>
            </w:r>
            <w:r w:rsidR="00CA0348">
              <w:t xml:space="preserve">they </w:t>
            </w:r>
            <w:r>
              <w:t>pl</w:t>
            </w:r>
            <w:r w:rsidR="00C72E83">
              <w:t xml:space="preserve">anned to engage law enforcement.  </w:t>
            </w:r>
          </w:p>
        </w:tc>
      </w:tr>
    </w:tbl>
    <w:p w:rsidR="007817DB" w:rsidRDefault="007817DB" w:rsidP="006A7C2C">
      <w:pPr>
        <w:rPr>
          <w:b/>
        </w:rPr>
      </w:pPr>
    </w:p>
    <w:p w:rsidR="0071223C" w:rsidRPr="00DD3ACA" w:rsidRDefault="0071223C" w:rsidP="006A7C2C">
      <w:pPr>
        <w:rPr>
          <w:b/>
        </w:rPr>
      </w:pPr>
      <w:r w:rsidRPr="00DD3ACA">
        <w:rPr>
          <w:b/>
        </w:rPr>
        <w:t>Media Matters</w:t>
      </w:r>
    </w:p>
    <w:p w:rsidR="00DD3ACA" w:rsidRPr="00DD3ACA" w:rsidRDefault="00170DEF" w:rsidP="001217D5">
      <w:pPr>
        <w:pStyle w:val="ListParagraph"/>
        <w:numPr>
          <w:ilvl w:val="0"/>
          <w:numId w:val="16"/>
        </w:numPr>
        <w:spacing w:line="240" w:lineRule="auto"/>
      </w:pPr>
      <w:r w:rsidRPr="00DD3ACA">
        <w:t xml:space="preserve">Mass media as discussed in the compendium is not to be confused with an alcohol awareness campaign.  </w:t>
      </w:r>
      <w:r w:rsidR="00C5707D" w:rsidRPr="00DD3ACA">
        <w:t xml:space="preserve">As suggested by the outcomes </w:t>
      </w:r>
      <w:r w:rsidR="00647A8A" w:rsidRPr="00DD3ACA">
        <w:t>in the compendium, m</w:t>
      </w:r>
      <w:r w:rsidR="00C5707D" w:rsidRPr="00DD3ACA">
        <w:t xml:space="preserve">ass media </w:t>
      </w:r>
      <w:r w:rsidR="00647A8A" w:rsidRPr="00DD3ACA">
        <w:t xml:space="preserve">campaigns are </w:t>
      </w:r>
      <w:r w:rsidR="00DD3ACA">
        <w:t xml:space="preserve">best </w:t>
      </w:r>
      <w:r w:rsidR="00647A8A" w:rsidRPr="00DD3ACA">
        <w:t xml:space="preserve">used </w:t>
      </w:r>
      <w:r w:rsidR="00DD3ACA">
        <w:t>to compliment</w:t>
      </w:r>
      <w:r w:rsidR="00647A8A" w:rsidRPr="00DD3ACA">
        <w:t xml:space="preserve"> other strategies</w:t>
      </w:r>
      <w:r w:rsidR="00DD3ACA" w:rsidRPr="00DD3ACA">
        <w:t>.</w:t>
      </w:r>
      <w:r w:rsidR="00DD3ACA">
        <w:t xml:space="preserve"> </w:t>
      </w:r>
    </w:p>
    <w:tbl>
      <w:tblPr>
        <w:tblStyle w:val="TableGrid"/>
        <w:tblW w:w="0" w:type="auto"/>
        <w:shd w:val="clear" w:color="auto" w:fill="EEECE1" w:themeFill="background2"/>
        <w:tblLook w:val="04A0" w:firstRow="1" w:lastRow="0" w:firstColumn="1" w:lastColumn="0" w:noHBand="0" w:noVBand="1"/>
      </w:tblPr>
      <w:tblGrid>
        <w:gridCol w:w="9576"/>
      </w:tblGrid>
      <w:tr w:rsidR="00DD3ACA" w:rsidTr="00ED6433">
        <w:tc>
          <w:tcPr>
            <w:tcW w:w="9576" w:type="dxa"/>
            <w:shd w:val="clear" w:color="auto" w:fill="EEECE1" w:themeFill="background2"/>
          </w:tcPr>
          <w:p w:rsidR="00DD3ACA" w:rsidRPr="00DD3ACA" w:rsidRDefault="00DD3ACA" w:rsidP="00DD3ACA">
            <w:pPr>
              <w:rPr>
                <w:b/>
              </w:rPr>
            </w:pPr>
            <w:r w:rsidRPr="00DD3ACA">
              <w:rPr>
                <w:b/>
              </w:rPr>
              <w:t>EXAMPLE</w:t>
            </w:r>
          </w:p>
          <w:p w:rsidR="00DD3ACA" w:rsidRPr="00DD3ACA" w:rsidRDefault="00DD3ACA" w:rsidP="00DD3ACA">
            <w:pPr>
              <w:rPr>
                <w:b/>
              </w:rPr>
            </w:pPr>
          </w:p>
          <w:p w:rsidR="00DD3ACA" w:rsidRPr="00DD3ACA" w:rsidRDefault="00DD3ACA" w:rsidP="00DD3ACA">
            <w:pPr>
              <w:pStyle w:val="ListParagraph"/>
              <w:numPr>
                <w:ilvl w:val="1"/>
                <w:numId w:val="7"/>
              </w:numPr>
              <w:rPr>
                <w:b/>
              </w:rPr>
            </w:pPr>
            <w:r w:rsidRPr="00DD3ACA">
              <w:t>IV – Social Availability</w:t>
            </w:r>
          </w:p>
          <w:p w:rsidR="00DD3ACA" w:rsidRPr="00DD3ACA" w:rsidRDefault="00DD3ACA" w:rsidP="00DD3ACA">
            <w:pPr>
              <w:pStyle w:val="ListParagraph"/>
              <w:numPr>
                <w:ilvl w:val="1"/>
                <w:numId w:val="7"/>
              </w:numPr>
              <w:rPr>
                <w:b/>
              </w:rPr>
            </w:pPr>
            <w:r w:rsidRPr="00DD3ACA">
              <w:t>CF – Shoulder Tapping</w:t>
            </w:r>
          </w:p>
          <w:p w:rsidR="00DD3ACA" w:rsidRPr="00DD3ACA" w:rsidRDefault="00DD3ACA" w:rsidP="00DD3ACA">
            <w:pPr>
              <w:pStyle w:val="ListParagraph"/>
              <w:numPr>
                <w:ilvl w:val="1"/>
                <w:numId w:val="7"/>
              </w:numPr>
              <w:rPr>
                <w:b/>
              </w:rPr>
            </w:pPr>
            <w:r w:rsidRPr="00DD3ACA">
              <w:t>Strategy – Shoulder Tap Program</w:t>
            </w:r>
          </w:p>
          <w:p w:rsidR="00DD3ACA" w:rsidRPr="00DD3ACA" w:rsidRDefault="00DD3ACA" w:rsidP="00DD3ACA">
            <w:pPr>
              <w:pStyle w:val="ListParagraph"/>
              <w:ind w:left="1440"/>
              <w:rPr>
                <w:b/>
              </w:rPr>
            </w:pPr>
          </w:p>
          <w:p w:rsidR="00DD3ACA" w:rsidRPr="00DD3ACA" w:rsidRDefault="00DD3ACA" w:rsidP="00DD3ACA">
            <w:pPr>
              <w:ind w:left="720"/>
            </w:pPr>
            <w:r w:rsidRPr="00DD3ACA">
              <w:t xml:space="preserve">In this example, mass media could be used as part of a three-prong strategy: </w:t>
            </w:r>
          </w:p>
          <w:p w:rsidR="00DD3ACA" w:rsidRPr="00DD3ACA" w:rsidRDefault="00DD3ACA" w:rsidP="00DD3ACA">
            <w:pPr>
              <w:ind w:left="720"/>
            </w:pPr>
            <w:r>
              <w:t>1) L</w:t>
            </w:r>
            <w:r w:rsidRPr="00DD3ACA">
              <w:t xml:space="preserve">aw/policy – Shoulder Tap Program; </w:t>
            </w:r>
          </w:p>
          <w:p w:rsidR="00DD3ACA" w:rsidRPr="00DD3ACA" w:rsidRDefault="00DD3ACA" w:rsidP="00DD3ACA">
            <w:pPr>
              <w:ind w:left="720"/>
            </w:pPr>
            <w:r w:rsidRPr="00DD3ACA">
              <w:t xml:space="preserve">2) Law Enforcement enforcing underage drinking laws; and </w:t>
            </w:r>
          </w:p>
          <w:p w:rsidR="00DD3ACA" w:rsidRPr="00D1525D" w:rsidRDefault="00DD3ACA" w:rsidP="00D1525D">
            <w:pPr>
              <w:ind w:left="720"/>
            </w:pPr>
            <w:r w:rsidRPr="00DD3ACA">
              <w:t>3) The use of media to raise awareness about the existing laws and penalties associated with adults buying alcohol for minors.</w:t>
            </w:r>
            <w:r>
              <w:t xml:space="preserve"> </w:t>
            </w:r>
          </w:p>
        </w:tc>
      </w:tr>
    </w:tbl>
    <w:p w:rsidR="002329F4" w:rsidRDefault="002329F4" w:rsidP="002329F4">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9558"/>
      </w:tblGrid>
      <w:tr w:rsidR="00ED6433" w:rsidTr="00ED6433">
        <w:tc>
          <w:tcPr>
            <w:tcW w:w="9576" w:type="dxa"/>
            <w:gridSpan w:val="2"/>
          </w:tcPr>
          <w:p w:rsidR="00ED6433" w:rsidRDefault="00ED6433" w:rsidP="00ED6433">
            <w:pPr>
              <w:pStyle w:val="ListParagraph"/>
              <w:numPr>
                <w:ilvl w:val="0"/>
                <w:numId w:val="16"/>
              </w:numPr>
            </w:pPr>
            <w:r w:rsidRPr="002329F4">
              <w:t xml:space="preserve">Mass media is most likely be a product of a particular strategy – i.e. Billboard associated with a positive peer social norms campaign. In this case, </w:t>
            </w:r>
            <w:proofErr w:type="gramStart"/>
            <w:r w:rsidRPr="002329F4">
              <w:t>mass media is not the strategy</w:t>
            </w:r>
            <w:proofErr w:type="gramEnd"/>
            <w:r w:rsidRPr="002329F4">
              <w:t xml:space="preserve">, </w:t>
            </w:r>
            <w:proofErr w:type="gramStart"/>
            <w:r w:rsidRPr="002329F4">
              <w:t>it is a product</w:t>
            </w:r>
            <w:proofErr w:type="gramEnd"/>
            <w:r w:rsidRPr="002329F4">
              <w:t>.</w:t>
            </w:r>
          </w:p>
          <w:p w:rsidR="00D1525D" w:rsidRDefault="00D1525D" w:rsidP="00D1525D">
            <w:pPr>
              <w:pStyle w:val="ListParagraph"/>
            </w:pPr>
          </w:p>
        </w:tc>
      </w:tr>
      <w:tr w:rsidR="00ED6433" w:rsidTr="00ED6433">
        <w:tc>
          <w:tcPr>
            <w:tcW w:w="9576" w:type="dxa"/>
            <w:gridSpan w:val="2"/>
          </w:tcPr>
          <w:p w:rsidR="00ED6433" w:rsidRDefault="00ED6433" w:rsidP="00ED6433">
            <w:pPr>
              <w:pStyle w:val="ListParagraph"/>
              <w:numPr>
                <w:ilvl w:val="0"/>
                <w:numId w:val="16"/>
              </w:numPr>
            </w:pPr>
            <w:r w:rsidRPr="002329F4">
              <w:t xml:space="preserve">A </w:t>
            </w:r>
            <w:r w:rsidR="001217D5">
              <w:t>social m</w:t>
            </w:r>
            <w:r w:rsidRPr="002329F4">
              <w:t>arketing campaign is</w:t>
            </w:r>
            <w:r>
              <w:t xml:space="preserve"> another way to use media within </w:t>
            </w:r>
            <w:r w:rsidR="00CA0348">
              <w:t xml:space="preserve">a </w:t>
            </w:r>
            <w:r>
              <w:t xml:space="preserve">prevention portfolio. </w:t>
            </w:r>
            <w:r w:rsidRPr="002329F4">
              <w:t xml:space="preserve"> </w:t>
            </w:r>
            <w:r>
              <w:t xml:space="preserve">Before taking a ‘ground up’ approach, </w:t>
            </w:r>
            <w:r w:rsidR="00CA0348">
              <w:t xml:space="preserve">providers should </w:t>
            </w:r>
            <w:r>
              <w:t xml:space="preserve">research for existing campaigns that address </w:t>
            </w:r>
            <w:r w:rsidR="00CA0348">
              <w:t xml:space="preserve">the approved </w:t>
            </w:r>
            <w:r>
              <w:t>contributing factors and have some evidence of effectiveness (i.e. outcome evaluation data; research studies).</w:t>
            </w:r>
          </w:p>
          <w:p w:rsidR="00ED6433" w:rsidRDefault="00ED6433" w:rsidP="00ED6433"/>
        </w:tc>
      </w:tr>
      <w:tr w:rsidR="00ED6433" w:rsidTr="00ED6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PrEx>
        <w:trPr>
          <w:gridBefore w:val="1"/>
          <w:wBefore w:w="18" w:type="dxa"/>
        </w:trPr>
        <w:tc>
          <w:tcPr>
            <w:tcW w:w="9558" w:type="dxa"/>
            <w:shd w:val="clear" w:color="auto" w:fill="EEECE1" w:themeFill="background2"/>
          </w:tcPr>
          <w:p w:rsidR="00ED6433" w:rsidRPr="00DD3ACA" w:rsidRDefault="00ED6433" w:rsidP="006F1E3D">
            <w:pPr>
              <w:rPr>
                <w:b/>
              </w:rPr>
            </w:pPr>
            <w:r w:rsidRPr="00DD3ACA">
              <w:rPr>
                <w:b/>
              </w:rPr>
              <w:t>EXAMPLE</w:t>
            </w:r>
          </w:p>
          <w:p w:rsidR="00ED6433" w:rsidRPr="00DD3ACA" w:rsidRDefault="00ED6433" w:rsidP="006F1E3D">
            <w:pPr>
              <w:rPr>
                <w:b/>
              </w:rPr>
            </w:pPr>
          </w:p>
          <w:p w:rsidR="00ED6433" w:rsidRPr="00D1525D" w:rsidRDefault="00ED6433" w:rsidP="00ED6433">
            <w:pPr>
              <w:rPr>
                <w:b/>
              </w:rPr>
            </w:pPr>
            <w:r w:rsidRPr="00D1525D">
              <w:rPr>
                <w:b/>
              </w:rPr>
              <w:t>Be The Wall is a great example:</w:t>
            </w:r>
          </w:p>
          <w:p w:rsidR="00ED6433" w:rsidRPr="00D1525D" w:rsidRDefault="00ED6433" w:rsidP="00ED6433">
            <w:pPr>
              <w:pStyle w:val="ListParagraph"/>
              <w:numPr>
                <w:ilvl w:val="0"/>
                <w:numId w:val="17"/>
              </w:numPr>
            </w:pPr>
            <w:r w:rsidRPr="00D1525D">
              <w:t>Specifically aimed at addressing Social Availability &gt;&gt;Provision to Minors</w:t>
            </w:r>
          </w:p>
          <w:p w:rsidR="00ED6433" w:rsidRPr="00D1525D" w:rsidRDefault="00ED6433" w:rsidP="00ED6433">
            <w:pPr>
              <w:pStyle w:val="ListParagraph"/>
              <w:numPr>
                <w:ilvl w:val="0"/>
                <w:numId w:val="17"/>
              </w:numPr>
            </w:pPr>
            <w:r w:rsidRPr="00D1525D">
              <w:t>Conducted in FL, GA and other states</w:t>
            </w:r>
            <w:r w:rsidR="00D1525D">
              <w:t xml:space="preserve"> with data to support its promise/effectiveness</w:t>
            </w:r>
          </w:p>
          <w:p w:rsidR="00ED6433" w:rsidRPr="00DD3ACA" w:rsidRDefault="00ED6433" w:rsidP="00ED6433">
            <w:pPr>
              <w:rPr>
                <w:b/>
                <w:highlight w:val="yellow"/>
              </w:rPr>
            </w:pPr>
          </w:p>
        </w:tc>
      </w:tr>
    </w:tbl>
    <w:p w:rsidR="007D3D6D" w:rsidRDefault="007D3D6D" w:rsidP="008E094A">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41A9C" w:rsidTr="00B41A9C">
        <w:tc>
          <w:tcPr>
            <w:tcW w:w="9576" w:type="dxa"/>
          </w:tcPr>
          <w:p w:rsidR="00B41A9C" w:rsidRPr="00B41A9C" w:rsidRDefault="00B41A9C" w:rsidP="001217D5">
            <w:pPr>
              <w:pStyle w:val="ListParagraph"/>
              <w:numPr>
                <w:ilvl w:val="0"/>
                <w:numId w:val="22"/>
              </w:numPr>
              <w:jc w:val="both"/>
              <w:rPr>
                <w:b/>
              </w:rPr>
            </w:pPr>
            <w:r w:rsidRPr="001217D5">
              <w:rPr>
                <w:rFonts w:cs="Arial"/>
                <w:shd w:val="clear" w:color="auto" w:fill="FFFFFF"/>
              </w:rPr>
              <w:t xml:space="preserve">Mass Media cannot serve as the second environmental strategy to a strategy such as Positive Social Norms. An important point to remember is the more comprehensive your plan (i.e. </w:t>
            </w:r>
            <w:r w:rsidRPr="001217D5">
              <w:rPr>
                <w:rFonts w:cs="Arial"/>
                <w:shd w:val="clear" w:color="auto" w:fill="FFFFFF"/>
              </w:rPr>
              <w:lastRenderedPageBreak/>
              <w:t>strategies that address host, agent and environment), the more effective your prevention portfolio will be. The use of media and Individual Level strategies without the inclusion of policies/practices and enforcement would yield very little in terms of impacting the State priority.</w:t>
            </w:r>
          </w:p>
        </w:tc>
      </w:tr>
    </w:tbl>
    <w:p w:rsidR="00B41A9C" w:rsidRDefault="00B41A9C" w:rsidP="008E094A">
      <w:pPr>
        <w:spacing w:after="0"/>
        <w:rPr>
          <w:b/>
        </w:rPr>
      </w:pPr>
    </w:p>
    <w:p w:rsidR="00ED6433" w:rsidRDefault="00231F2B" w:rsidP="006A7C2C">
      <w:pPr>
        <w:rPr>
          <w:b/>
        </w:rPr>
      </w:pPr>
      <w:r w:rsidRPr="00FA728E">
        <w:rPr>
          <w:b/>
        </w:rPr>
        <w:t>Logic Model Related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
        <w:gridCol w:w="5130"/>
        <w:gridCol w:w="4428"/>
      </w:tblGrid>
      <w:tr w:rsidR="00ED6433" w:rsidTr="00C9482D">
        <w:tc>
          <w:tcPr>
            <w:tcW w:w="9576" w:type="dxa"/>
            <w:gridSpan w:val="3"/>
          </w:tcPr>
          <w:p w:rsidR="004E5B77" w:rsidRDefault="006C158D" w:rsidP="00ED6433">
            <w:pPr>
              <w:pStyle w:val="ListParagraph"/>
              <w:numPr>
                <w:ilvl w:val="0"/>
                <w:numId w:val="4"/>
              </w:numPr>
            </w:pPr>
            <w:r>
              <w:t>Refer to 22-23 to guide you in the development of your logic models.</w:t>
            </w:r>
          </w:p>
          <w:p w:rsidR="006C158D" w:rsidRDefault="006C158D" w:rsidP="006C158D">
            <w:pPr>
              <w:pStyle w:val="ListParagraph"/>
            </w:pPr>
          </w:p>
          <w:p w:rsidR="00ED6433" w:rsidRDefault="00ED6433" w:rsidP="00ED6433">
            <w:pPr>
              <w:pStyle w:val="ListParagraph"/>
              <w:numPr>
                <w:ilvl w:val="0"/>
                <w:numId w:val="4"/>
              </w:numPr>
            </w:pPr>
            <w:r>
              <w:t xml:space="preserve">There were two types of logic models introduced during training: (1) Community Level Logic Model (CLLM) and (2) Strategy Level Logic Model (SLLM).  </w:t>
            </w:r>
          </w:p>
          <w:p w:rsidR="00ED6433" w:rsidRDefault="00ED6433" w:rsidP="006A7C2C">
            <w:pPr>
              <w:rPr>
                <w:b/>
              </w:rPr>
            </w:pPr>
          </w:p>
        </w:tc>
      </w:tr>
      <w:tr w:rsidR="00ED6433" w:rsidTr="00C9482D">
        <w:tc>
          <w:tcPr>
            <w:tcW w:w="9576" w:type="dxa"/>
            <w:gridSpan w:val="3"/>
          </w:tcPr>
          <w:p w:rsidR="00ED6433" w:rsidRDefault="00ED6433" w:rsidP="00ED6433">
            <w:pPr>
              <w:pStyle w:val="ListParagraph"/>
              <w:numPr>
                <w:ilvl w:val="0"/>
                <w:numId w:val="4"/>
              </w:numPr>
            </w:pPr>
            <w:r>
              <w:t>Although several providers are serving more than one High Need Community, there is only one (1) CLLM required in the Strategic Plan.</w:t>
            </w:r>
          </w:p>
          <w:p w:rsidR="00ED6433" w:rsidRDefault="00ED6433" w:rsidP="006A7C2C">
            <w:pPr>
              <w:rPr>
                <w:b/>
              </w:rPr>
            </w:pPr>
          </w:p>
        </w:tc>
      </w:tr>
      <w:tr w:rsidR="00ED6433" w:rsidTr="00C9482D">
        <w:tc>
          <w:tcPr>
            <w:tcW w:w="9576" w:type="dxa"/>
            <w:gridSpan w:val="3"/>
          </w:tcPr>
          <w:p w:rsidR="00ED6433" w:rsidRDefault="00ED6433" w:rsidP="00ED6433">
            <w:pPr>
              <w:pStyle w:val="ListParagraph"/>
              <w:numPr>
                <w:ilvl w:val="0"/>
                <w:numId w:val="4"/>
              </w:numPr>
            </w:pPr>
            <w:r>
              <w:t xml:space="preserve">There should be a SLLM for </w:t>
            </w:r>
            <w:r w:rsidRPr="00007464">
              <w:rPr>
                <w:b/>
              </w:rPr>
              <w:t>every</w:t>
            </w:r>
            <w:r>
              <w:t xml:space="preserve"> strategy.  Notice that this does not say for every CF. Therefore, if one strategy is used for multiple CFs, submit only SLLM.</w:t>
            </w:r>
          </w:p>
          <w:p w:rsidR="00ED6433" w:rsidRDefault="00ED6433" w:rsidP="006A7C2C">
            <w:pPr>
              <w:rPr>
                <w:b/>
              </w:rPr>
            </w:pPr>
          </w:p>
        </w:tc>
      </w:tr>
      <w:tr w:rsidR="00ED6433" w:rsidTr="00C9482D">
        <w:tc>
          <w:tcPr>
            <w:tcW w:w="9576" w:type="dxa"/>
            <w:gridSpan w:val="3"/>
          </w:tcPr>
          <w:p w:rsidR="00ED6433" w:rsidRDefault="00ED6433" w:rsidP="00ED6433">
            <w:pPr>
              <w:pStyle w:val="ListParagraph"/>
              <w:numPr>
                <w:ilvl w:val="0"/>
                <w:numId w:val="4"/>
              </w:numPr>
            </w:pPr>
            <w:r>
              <w:t xml:space="preserve">Long-term outcomes and State Priorities generally overlap. The exception for this is </w:t>
            </w:r>
            <w:r w:rsidR="001217D5">
              <w:t>Priority</w:t>
            </w:r>
            <w:r>
              <w:t xml:space="preserve"> 2, as </w:t>
            </w:r>
            <w:r w:rsidR="00CA0348">
              <w:t>providers</w:t>
            </w:r>
            <w:r>
              <w:t xml:space="preserve"> reduce access to alcohol, overtime there will be a reduction in binge drinking. </w:t>
            </w:r>
          </w:p>
          <w:p w:rsidR="00ED6433" w:rsidRDefault="00ED6433" w:rsidP="00ED6433">
            <w:pPr>
              <w:pStyle w:val="ListParagraph"/>
              <w:numPr>
                <w:ilvl w:val="1"/>
                <w:numId w:val="4"/>
              </w:numPr>
            </w:pPr>
            <w:r>
              <w:t>Mid-Term Outcome – Reduce Access</w:t>
            </w:r>
          </w:p>
          <w:p w:rsidR="00ED6433" w:rsidRDefault="00ED6433" w:rsidP="00ED6433">
            <w:pPr>
              <w:pStyle w:val="ListParagraph"/>
              <w:numPr>
                <w:ilvl w:val="1"/>
                <w:numId w:val="4"/>
              </w:numPr>
            </w:pPr>
            <w:r>
              <w:t>Long-Term Outcome – Reduce Binge Drinking</w:t>
            </w:r>
          </w:p>
          <w:p w:rsidR="00ED6433" w:rsidRDefault="00ED6433" w:rsidP="006A7C2C">
            <w:pPr>
              <w:rPr>
                <w:b/>
              </w:rPr>
            </w:pPr>
          </w:p>
        </w:tc>
      </w:tr>
      <w:tr w:rsidR="00C9482D" w:rsidTr="00C9482D">
        <w:tc>
          <w:tcPr>
            <w:tcW w:w="9576" w:type="dxa"/>
            <w:gridSpan w:val="3"/>
          </w:tcPr>
          <w:p w:rsidR="00C9482D" w:rsidRDefault="00C9482D" w:rsidP="00ED6433">
            <w:pPr>
              <w:pStyle w:val="ListParagraph"/>
              <w:numPr>
                <w:ilvl w:val="0"/>
                <w:numId w:val="4"/>
              </w:numPr>
            </w:pPr>
            <w:r>
              <w:t>The activities listed on the SLLM should be top line items; reserve the details for the SPDT</w:t>
            </w:r>
          </w:p>
        </w:tc>
      </w:tr>
      <w:tr w:rsidR="00EC6D6D" w:rsidTr="00C9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PrEx>
        <w:trPr>
          <w:gridBefore w:val="1"/>
          <w:wBefore w:w="18" w:type="dxa"/>
        </w:trPr>
        <w:tc>
          <w:tcPr>
            <w:tcW w:w="9558" w:type="dxa"/>
            <w:gridSpan w:val="2"/>
            <w:shd w:val="clear" w:color="auto" w:fill="EEECE1" w:themeFill="background2"/>
          </w:tcPr>
          <w:p w:rsidR="00EC6D6D" w:rsidRPr="00EC6D6D" w:rsidRDefault="00EC6D6D" w:rsidP="00C9482D">
            <w:pPr>
              <w:rPr>
                <w:b/>
              </w:rPr>
            </w:pPr>
            <w:r w:rsidRPr="00C9482D">
              <w:rPr>
                <w:b/>
              </w:rPr>
              <w:t>EXAMPLE</w:t>
            </w:r>
            <w:r w:rsidR="00C9482D">
              <w:rPr>
                <w:b/>
              </w:rPr>
              <w:t xml:space="preserve"> </w:t>
            </w:r>
          </w:p>
        </w:tc>
      </w:tr>
      <w:tr w:rsidR="00EC6D6D" w:rsidTr="00C94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PrEx>
        <w:trPr>
          <w:gridBefore w:val="1"/>
          <w:wBefore w:w="18" w:type="dxa"/>
        </w:trPr>
        <w:tc>
          <w:tcPr>
            <w:tcW w:w="5130" w:type="dxa"/>
            <w:shd w:val="clear" w:color="auto" w:fill="EEECE1" w:themeFill="background2"/>
          </w:tcPr>
          <w:p w:rsidR="00EC6D6D" w:rsidRDefault="00EC6D6D" w:rsidP="00EC6D6D">
            <w:r>
              <w:t>SLLM Activity – Focus Groups</w:t>
            </w:r>
          </w:p>
          <w:p w:rsidR="00EC6D6D" w:rsidRDefault="00EC6D6D" w:rsidP="00EC6D6D">
            <w:pPr>
              <w:pStyle w:val="ListParagraph"/>
              <w:ind w:left="0"/>
            </w:pPr>
          </w:p>
        </w:tc>
        <w:tc>
          <w:tcPr>
            <w:tcW w:w="4428" w:type="dxa"/>
            <w:shd w:val="clear" w:color="auto" w:fill="EEECE1" w:themeFill="background2"/>
          </w:tcPr>
          <w:p w:rsidR="00EC6D6D" w:rsidRDefault="00EC6D6D" w:rsidP="00EC6D6D">
            <w:r>
              <w:t>SPDT – all the details necessary to plan the focus groups</w:t>
            </w:r>
          </w:p>
          <w:p w:rsidR="00EC6D6D" w:rsidRDefault="00EC6D6D" w:rsidP="00EC6D6D">
            <w:pPr>
              <w:pStyle w:val="ListParagraph"/>
              <w:ind w:left="0"/>
            </w:pPr>
          </w:p>
        </w:tc>
      </w:tr>
    </w:tbl>
    <w:p w:rsidR="007817DB" w:rsidRDefault="007817DB" w:rsidP="006A7C2C">
      <w:pPr>
        <w:rPr>
          <w:b/>
        </w:rPr>
      </w:pPr>
    </w:p>
    <w:p w:rsidR="00EF31BA" w:rsidRDefault="00C61F79" w:rsidP="006A7C2C">
      <w:pPr>
        <w:rPr>
          <w:b/>
        </w:rPr>
      </w:pPr>
      <w:r>
        <w:rPr>
          <w:b/>
        </w:rPr>
        <w:t>Outcome Related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1881"/>
        <w:gridCol w:w="2529"/>
        <w:gridCol w:w="3150"/>
        <w:gridCol w:w="18"/>
      </w:tblGrid>
      <w:tr w:rsidR="00EF31BA" w:rsidTr="00EF31BA">
        <w:tc>
          <w:tcPr>
            <w:tcW w:w="9576" w:type="dxa"/>
            <w:gridSpan w:val="5"/>
          </w:tcPr>
          <w:p w:rsidR="00EF31BA" w:rsidRPr="00EF31BA" w:rsidRDefault="00EF31BA" w:rsidP="00EF31BA">
            <w:pPr>
              <w:pStyle w:val="ListParagraph"/>
              <w:numPr>
                <w:ilvl w:val="0"/>
                <w:numId w:val="20"/>
              </w:numPr>
              <w:rPr>
                <w:b/>
              </w:rPr>
            </w:pPr>
            <w:r>
              <w:t>Refer to pp. 22-23 for guidance in developing short-, medium-, and long-term outcomes.</w:t>
            </w:r>
          </w:p>
          <w:p w:rsidR="00EF31BA" w:rsidRPr="00EF31BA" w:rsidRDefault="00EF31BA" w:rsidP="00EF31BA">
            <w:pPr>
              <w:pStyle w:val="ListParagraph"/>
              <w:rPr>
                <w:b/>
              </w:rPr>
            </w:pPr>
          </w:p>
        </w:tc>
      </w:tr>
      <w:tr w:rsidR="00EF31BA" w:rsidTr="00EF31BA">
        <w:tc>
          <w:tcPr>
            <w:tcW w:w="9576" w:type="dxa"/>
            <w:gridSpan w:val="5"/>
          </w:tcPr>
          <w:p w:rsidR="00EF31BA" w:rsidRDefault="00EF31BA" w:rsidP="00EF31BA">
            <w:pPr>
              <w:pStyle w:val="ListParagraph"/>
              <w:numPr>
                <w:ilvl w:val="0"/>
                <w:numId w:val="20"/>
              </w:numPr>
            </w:pPr>
            <w:r>
              <w:t>Two partial examples from GA SPF SIG have been provided below:</w:t>
            </w:r>
          </w:p>
        </w:tc>
      </w:tr>
      <w:tr w:rsidR="005B6A8F" w:rsidTr="005B6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558" w:type="dxa"/>
            <w:gridSpan w:val="4"/>
            <w:shd w:val="clear" w:color="auto" w:fill="DBE5F1" w:themeFill="accent1" w:themeFillTint="33"/>
          </w:tcPr>
          <w:p w:rsidR="005B6A8F" w:rsidRDefault="00EF31BA" w:rsidP="006F1E3D">
            <w:r>
              <w:rPr>
                <w:b/>
              </w:rPr>
              <w:t xml:space="preserve">Example 1- </w:t>
            </w:r>
            <w:r w:rsidR="005B6A8F" w:rsidRPr="0070703C">
              <w:rPr>
                <w:b/>
              </w:rPr>
              <w:t>IV/CF:</w:t>
            </w:r>
            <w:r w:rsidR="005B6A8F">
              <w:t xml:space="preserve">  Enforcement &amp; Adjudication/Law Enforcement Practices</w:t>
            </w:r>
          </w:p>
        </w:tc>
      </w:tr>
      <w:tr w:rsidR="005B6A8F" w:rsidTr="005B6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9558" w:type="dxa"/>
            <w:gridSpan w:val="4"/>
            <w:shd w:val="clear" w:color="auto" w:fill="DBE5F1" w:themeFill="accent1" w:themeFillTint="33"/>
          </w:tcPr>
          <w:p w:rsidR="005B6A8F" w:rsidRDefault="005B6A8F" w:rsidP="006F1E3D">
            <w:r w:rsidRPr="0070703C">
              <w:rPr>
                <w:b/>
              </w:rPr>
              <w:t>STRATEGY:</w:t>
            </w:r>
            <w:r>
              <w:t xml:space="preserve"> Saturation Patrols </w:t>
            </w:r>
          </w:p>
        </w:tc>
      </w:tr>
      <w:tr w:rsidR="005B6A8F" w:rsidTr="00EF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998" w:type="dxa"/>
            <w:shd w:val="clear" w:color="auto" w:fill="DBE5F1" w:themeFill="accent1" w:themeFillTint="33"/>
          </w:tcPr>
          <w:p w:rsidR="005B6A8F" w:rsidRPr="0070703C" w:rsidRDefault="005B6A8F" w:rsidP="006F1E3D">
            <w:pPr>
              <w:rPr>
                <w:b/>
              </w:rPr>
            </w:pPr>
            <w:r w:rsidRPr="0070703C">
              <w:rPr>
                <w:b/>
              </w:rPr>
              <w:t>IMPACT</w:t>
            </w:r>
          </w:p>
        </w:tc>
        <w:tc>
          <w:tcPr>
            <w:tcW w:w="1881" w:type="dxa"/>
            <w:shd w:val="clear" w:color="auto" w:fill="DBE5F1" w:themeFill="accent1" w:themeFillTint="33"/>
          </w:tcPr>
          <w:p w:rsidR="005B6A8F" w:rsidRPr="0070703C" w:rsidRDefault="005B6A8F" w:rsidP="006F1E3D">
            <w:pPr>
              <w:rPr>
                <w:b/>
              </w:rPr>
            </w:pPr>
            <w:r w:rsidRPr="0070703C">
              <w:rPr>
                <w:b/>
              </w:rPr>
              <w:t>LONG TERM OUTCOMES</w:t>
            </w:r>
          </w:p>
        </w:tc>
        <w:tc>
          <w:tcPr>
            <w:tcW w:w="2529" w:type="dxa"/>
            <w:shd w:val="clear" w:color="auto" w:fill="DBE5F1" w:themeFill="accent1" w:themeFillTint="33"/>
          </w:tcPr>
          <w:p w:rsidR="005B6A8F" w:rsidRPr="0070703C" w:rsidRDefault="005B6A8F" w:rsidP="006F1E3D">
            <w:pPr>
              <w:rPr>
                <w:b/>
              </w:rPr>
            </w:pPr>
            <w:r w:rsidRPr="0070703C">
              <w:rPr>
                <w:b/>
              </w:rPr>
              <w:t>MEDIUM TERM OUTCOMES</w:t>
            </w:r>
          </w:p>
        </w:tc>
        <w:tc>
          <w:tcPr>
            <w:tcW w:w="3150" w:type="dxa"/>
            <w:shd w:val="clear" w:color="auto" w:fill="DBE5F1" w:themeFill="accent1" w:themeFillTint="33"/>
          </w:tcPr>
          <w:p w:rsidR="005B6A8F" w:rsidRPr="0070703C" w:rsidRDefault="005B6A8F" w:rsidP="006F1E3D">
            <w:pPr>
              <w:rPr>
                <w:b/>
              </w:rPr>
            </w:pPr>
            <w:r w:rsidRPr="0070703C">
              <w:rPr>
                <w:b/>
              </w:rPr>
              <w:t>SHORT TERM OUTCOMES</w:t>
            </w:r>
          </w:p>
        </w:tc>
      </w:tr>
      <w:tr w:rsidR="005B6A8F" w:rsidTr="00EF31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1277"/>
        </w:trPr>
        <w:tc>
          <w:tcPr>
            <w:tcW w:w="1998" w:type="dxa"/>
            <w:shd w:val="clear" w:color="auto" w:fill="DBE5F1" w:themeFill="accent1" w:themeFillTint="33"/>
          </w:tcPr>
          <w:p w:rsidR="005B6A8F" w:rsidRDefault="005B6A8F" w:rsidP="006F1E3D">
            <w:r>
              <w:t>Reduction in the # of 25-34 year old ARCF</w:t>
            </w:r>
          </w:p>
        </w:tc>
        <w:tc>
          <w:tcPr>
            <w:tcW w:w="1881" w:type="dxa"/>
            <w:shd w:val="clear" w:color="auto" w:fill="DBE5F1" w:themeFill="accent1" w:themeFillTint="33"/>
          </w:tcPr>
          <w:p w:rsidR="005B6A8F" w:rsidRDefault="005B6A8F" w:rsidP="006F1E3D">
            <w:r>
              <w:t>Increase the # of DUI Arrests</w:t>
            </w:r>
          </w:p>
          <w:p w:rsidR="005B6A8F" w:rsidRDefault="005B6A8F" w:rsidP="006F1E3D"/>
          <w:p w:rsidR="005B6A8F" w:rsidRDefault="005B6A8F" w:rsidP="006F1E3D"/>
        </w:tc>
        <w:tc>
          <w:tcPr>
            <w:tcW w:w="2529" w:type="dxa"/>
            <w:shd w:val="clear" w:color="auto" w:fill="DBE5F1" w:themeFill="accent1" w:themeFillTint="33"/>
          </w:tcPr>
          <w:p w:rsidR="005B6A8F" w:rsidRDefault="005B6A8F" w:rsidP="006F1E3D">
            <w:r>
              <w:t>Increase the # of saturation patrols</w:t>
            </w:r>
          </w:p>
          <w:p w:rsidR="005B6A8F" w:rsidRDefault="005B6A8F" w:rsidP="006F1E3D"/>
          <w:p w:rsidR="005B6A8F" w:rsidRDefault="005B6A8F" w:rsidP="006F1E3D"/>
        </w:tc>
        <w:tc>
          <w:tcPr>
            <w:tcW w:w="3150" w:type="dxa"/>
            <w:shd w:val="clear" w:color="auto" w:fill="DBE5F1" w:themeFill="accent1" w:themeFillTint="33"/>
          </w:tcPr>
          <w:p w:rsidR="005B6A8F" w:rsidRDefault="005B6A8F" w:rsidP="006F1E3D">
            <w:r>
              <w:t xml:space="preserve">Increase local support for saturation patrols </w:t>
            </w:r>
          </w:p>
        </w:tc>
      </w:tr>
    </w:tbl>
    <w:p w:rsidR="006C158D" w:rsidRDefault="00EF31BA">
      <w:r>
        <w:t>Adapted from GA SPF SIG – GATE Community</w:t>
      </w:r>
    </w:p>
    <w:p w:rsidR="007817DB" w:rsidRDefault="007817DB"/>
    <w:tbl>
      <w:tblPr>
        <w:tblStyle w:val="TableGrid"/>
        <w:tblW w:w="0" w:type="auto"/>
        <w:tblLayout w:type="fixed"/>
        <w:tblLook w:val="04A0" w:firstRow="1" w:lastRow="0" w:firstColumn="1" w:lastColumn="0" w:noHBand="0" w:noVBand="1"/>
      </w:tblPr>
      <w:tblGrid>
        <w:gridCol w:w="1998"/>
        <w:gridCol w:w="1890"/>
        <w:gridCol w:w="2520"/>
        <w:gridCol w:w="3150"/>
      </w:tblGrid>
      <w:tr w:rsidR="005B6A8F" w:rsidTr="005B6A8F">
        <w:tc>
          <w:tcPr>
            <w:tcW w:w="9558" w:type="dxa"/>
            <w:gridSpan w:val="4"/>
            <w:shd w:val="clear" w:color="auto" w:fill="F2DBDB" w:themeFill="accent2" w:themeFillTint="33"/>
          </w:tcPr>
          <w:p w:rsidR="005B6A8F" w:rsidRDefault="00EF31BA" w:rsidP="006F1E3D">
            <w:r>
              <w:rPr>
                <w:b/>
              </w:rPr>
              <w:lastRenderedPageBreak/>
              <w:t xml:space="preserve">EXAMPLE 2 - </w:t>
            </w:r>
            <w:r w:rsidR="005B6A8F" w:rsidRPr="0070703C">
              <w:rPr>
                <w:b/>
              </w:rPr>
              <w:t>IV/CF:</w:t>
            </w:r>
            <w:r w:rsidR="005B6A8F">
              <w:t xml:space="preserve">  Low Perceived Risk/Lack of concern for getting caught supplying alcohol to youth</w:t>
            </w:r>
          </w:p>
        </w:tc>
      </w:tr>
      <w:tr w:rsidR="005B6A8F" w:rsidTr="005B6A8F">
        <w:tc>
          <w:tcPr>
            <w:tcW w:w="9558" w:type="dxa"/>
            <w:gridSpan w:val="4"/>
            <w:shd w:val="clear" w:color="auto" w:fill="F2DBDB" w:themeFill="accent2" w:themeFillTint="33"/>
          </w:tcPr>
          <w:p w:rsidR="005B6A8F" w:rsidRDefault="005B6A8F" w:rsidP="006F1E3D">
            <w:r w:rsidRPr="0070703C">
              <w:rPr>
                <w:b/>
              </w:rPr>
              <w:t>STRATEGY:</w:t>
            </w:r>
            <w:r>
              <w:t xml:space="preserve"> Shoulder Tap Operations </w:t>
            </w:r>
          </w:p>
        </w:tc>
      </w:tr>
      <w:tr w:rsidR="005B6A8F" w:rsidTr="00EF31BA">
        <w:tc>
          <w:tcPr>
            <w:tcW w:w="1998" w:type="dxa"/>
            <w:shd w:val="clear" w:color="auto" w:fill="F2DBDB" w:themeFill="accent2" w:themeFillTint="33"/>
          </w:tcPr>
          <w:p w:rsidR="005B6A8F" w:rsidRPr="0070703C" w:rsidRDefault="005B6A8F" w:rsidP="006F1E3D">
            <w:pPr>
              <w:rPr>
                <w:b/>
              </w:rPr>
            </w:pPr>
            <w:r w:rsidRPr="0070703C">
              <w:rPr>
                <w:b/>
              </w:rPr>
              <w:t>IMPACT</w:t>
            </w:r>
          </w:p>
        </w:tc>
        <w:tc>
          <w:tcPr>
            <w:tcW w:w="1890" w:type="dxa"/>
            <w:shd w:val="clear" w:color="auto" w:fill="F2DBDB" w:themeFill="accent2" w:themeFillTint="33"/>
          </w:tcPr>
          <w:p w:rsidR="005B6A8F" w:rsidRPr="0070703C" w:rsidRDefault="005B6A8F" w:rsidP="006F1E3D">
            <w:pPr>
              <w:rPr>
                <w:b/>
              </w:rPr>
            </w:pPr>
            <w:r w:rsidRPr="0070703C">
              <w:rPr>
                <w:b/>
              </w:rPr>
              <w:t>LONG TERM OUTCOMES</w:t>
            </w:r>
          </w:p>
        </w:tc>
        <w:tc>
          <w:tcPr>
            <w:tcW w:w="2520" w:type="dxa"/>
            <w:shd w:val="clear" w:color="auto" w:fill="F2DBDB" w:themeFill="accent2" w:themeFillTint="33"/>
          </w:tcPr>
          <w:p w:rsidR="005B6A8F" w:rsidRPr="0070703C" w:rsidRDefault="005B6A8F" w:rsidP="006F1E3D">
            <w:pPr>
              <w:rPr>
                <w:b/>
              </w:rPr>
            </w:pPr>
            <w:r w:rsidRPr="0070703C">
              <w:rPr>
                <w:b/>
              </w:rPr>
              <w:t>MEDIUM TERM OUTCOMES</w:t>
            </w:r>
          </w:p>
        </w:tc>
        <w:tc>
          <w:tcPr>
            <w:tcW w:w="3150" w:type="dxa"/>
            <w:shd w:val="clear" w:color="auto" w:fill="F2DBDB" w:themeFill="accent2" w:themeFillTint="33"/>
          </w:tcPr>
          <w:p w:rsidR="005B6A8F" w:rsidRPr="0070703C" w:rsidRDefault="005B6A8F" w:rsidP="006F1E3D">
            <w:pPr>
              <w:rPr>
                <w:b/>
              </w:rPr>
            </w:pPr>
            <w:r w:rsidRPr="0070703C">
              <w:rPr>
                <w:b/>
              </w:rPr>
              <w:t>SHORT TERM OUTCOMES</w:t>
            </w:r>
          </w:p>
        </w:tc>
      </w:tr>
      <w:tr w:rsidR="005B6A8F" w:rsidTr="00EF31BA">
        <w:trPr>
          <w:trHeight w:val="1277"/>
        </w:trPr>
        <w:tc>
          <w:tcPr>
            <w:tcW w:w="1998" w:type="dxa"/>
            <w:shd w:val="clear" w:color="auto" w:fill="F2DBDB" w:themeFill="accent2" w:themeFillTint="33"/>
          </w:tcPr>
          <w:p w:rsidR="005B6A8F" w:rsidRDefault="005B6A8F" w:rsidP="006F1E3D">
            <w:r>
              <w:t>Reduced # of youth arrests related to alcohol</w:t>
            </w:r>
          </w:p>
        </w:tc>
        <w:tc>
          <w:tcPr>
            <w:tcW w:w="1890" w:type="dxa"/>
            <w:shd w:val="clear" w:color="auto" w:fill="F2DBDB" w:themeFill="accent2" w:themeFillTint="33"/>
          </w:tcPr>
          <w:p w:rsidR="005B6A8F" w:rsidRDefault="005B6A8F" w:rsidP="006F1E3D">
            <w:r>
              <w:t>Adults are less willing to provide alcohol to teens</w:t>
            </w:r>
          </w:p>
          <w:p w:rsidR="005B6A8F" w:rsidRDefault="005B6A8F" w:rsidP="006F1E3D"/>
          <w:p w:rsidR="005B6A8F" w:rsidRDefault="005B6A8F" w:rsidP="006F1E3D">
            <w:r>
              <w:t>Youth have less access to alcohol</w:t>
            </w:r>
          </w:p>
          <w:p w:rsidR="005B6A8F" w:rsidRDefault="005B6A8F" w:rsidP="006F1E3D"/>
          <w:p w:rsidR="005B6A8F" w:rsidRDefault="005B6A8F" w:rsidP="006F1E3D"/>
        </w:tc>
        <w:tc>
          <w:tcPr>
            <w:tcW w:w="2520" w:type="dxa"/>
            <w:shd w:val="clear" w:color="auto" w:fill="F2DBDB" w:themeFill="accent2" w:themeFillTint="33"/>
          </w:tcPr>
          <w:p w:rsidR="005B6A8F" w:rsidRDefault="005B6A8F" w:rsidP="006F1E3D">
            <w:r>
              <w:t>Increase perceived risk among adults getting caught providing alcohol to youth</w:t>
            </w:r>
          </w:p>
          <w:p w:rsidR="005B6A8F" w:rsidRDefault="005B6A8F" w:rsidP="006F1E3D"/>
          <w:p w:rsidR="005B6A8F" w:rsidRDefault="005B6A8F" w:rsidP="006F1E3D"/>
        </w:tc>
        <w:tc>
          <w:tcPr>
            <w:tcW w:w="3150" w:type="dxa"/>
            <w:shd w:val="clear" w:color="auto" w:fill="F2DBDB" w:themeFill="accent2" w:themeFillTint="33"/>
          </w:tcPr>
          <w:p w:rsidR="005B6A8F" w:rsidRDefault="005B6A8F" w:rsidP="006F1E3D">
            <w:r>
              <w:t>Adults are aware of increased enforcement of laws for providing alcohol to youth</w:t>
            </w:r>
          </w:p>
          <w:p w:rsidR="005B6A8F" w:rsidRDefault="005B6A8F" w:rsidP="006F1E3D"/>
          <w:p w:rsidR="005B6A8F" w:rsidRDefault="005B6A8F" w:rsidP="006F1E3D">
            <w:r>
              <w:t xml:space="preserve">Expand involvement of local law enforcement in enforcing underage drinking laws </w:t>
            </w:r>
          </w:p>
        </w:tc>
      </w:tr>
    </w:tbl>
    <w:p w:rsidR="00EF31BA" w:rsidRPr="00EF31BA" w:rsidRDefault="00EF31BA" w:rsidP="006A7C2C">
      <w:r w:rsidRPr="00EF31BA">
        <w:t>Adapted from GA SPF SIG – Early Choices</w:t>
      </w:r>
    </w:p>
    <w:p w:rsidR="00231F2B" w:rsidRDefault="00007464" w:rsidP="006A7C2C">
      <w:pPr>
        <w:rPr>
          <w:b/>
        </w:rPr>
      </w:pPr>
      <w:r>
        <w:rPr>
          <w:b/>
        </w:rPr>
        <w:t>Objective Related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9482D" w:rsidTr="00C9482D">
        <w:tc>
          <w:tcPr>
            <w:tcW w:w="9576" w:type="dxa"/>
          </w:tcPr>
          <w:p w:rsidR="00C9482D" w:rsidRDefault="00C9482D" w:rsidP="00C9482D">
            <w:pPr>
              <w:pStyle w:val="ListParagraph"/>
              <w:numPr>
                <w:ilvl w:val="0"/>
                <w:numId w:val="5"/>
              </w:numPr>
            </w:pPr>
            <w:r>
              <w:t xml:space="preserve">The CFs will inform the development of </w:t>
            </w:r>
            <w:r w:rsidR="00CA0348">
              <w:t xml:space="preserve">the </w:t>
            </w:r>
            <w:r>
              <w:t>objectives.</w:t>
            </w:r>
          </w:p>
          <w:p w:rsidR="00C9482D" w:rsidRDefault="00C9482D" w:rsidP="006A7C2C">
            <w:pPr>
              <w:rPr>
                <w:b/>
              </w:rPr>
            </w:pPr>
          </w:p>
        </w:tc>
      </w:tr>
      <w:tr w:rsidR="00C9482D" w:rsidTr="00C9482D">
        <w:tc>
          <w:tcPr>
            <w:tcW w:w="9576" w:type="dxa"/>
          </w:tcPr>
          <w:p w:rsidR="00C9482D" w:rsidRDefault="00C9482D" w:rsidP="00C9482D">
            <w:pPr>
              <w:pStyle w:val="ListParagraph"/>
              <w:numPr>
                <w:ilvl w:val="0"/>
                <w:numId w:val="5"/>
              </w:numPr>
            </w:pPr>
            <w:r>
              <w:t xml:space="preserve">As indicated on p. 29 of the Planning Workbook, objectives should be </w:t>
            </w:r>
            <w:proofErr w:type="gramStart"/>
            <w:r>
              <w:t>SMART</w:t>
            </w:r>
            <w:proofErr w:type="gramEnd"/>
            <w:r>
              <w:t xml:space="preserve">. </w:t>
            </w:r>
          </w:p>
          <w:p w:rsidR="00C9482D" w:rsidRDefault="00C9482D" w:rsidP="006A7C2C">
            <w:pPr>
              <w:rPr>
                <w:b/>
              </w:rPr>
            </w:pPr>
          </w:p>
        </w:tc>
      </w:tr>
      <w:tr w:rsidR="00B169CE" w:rsidTr="00C9482D">
        <w:tc>
          <w:tcPr>
            <w:tcW w:w="957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B169CE" w:rsidTr="00B169CE">
              <w:tc>
                <w:tcPr>
                  <w:tcW w:w="9576" w:type="dxa"/>
                </w:tcPr>
                <w:p w:rsidR="00B169CE" w:rsidRPr="00DC7A35" w:rsidRDefault="00B169CE" w:rsidP="00B169CE">
                  <w:pPr>
                    <w:pStyle w:val="ListParagraph"/>
                    <w:numPr>
                      <w:ilvl w:val="0"/>
                      <w:numId w:val="5"/>
                    </w:numPr>
                    <w:ind w:left="612"/>
                  </w:pPr>
                  <w:r w:rsidRPr="00B169CE">
                    <w:rPr>
                      <w:rFonts w:ascii="Arial" w:hAnsi="Arial" w:cs="Arial"/>
                      <w:color w:val="222222"/>
                      <w:sz w:val="19"/>
                      <w:szCs w:val="19"/>
                      <w:shd w:val="clear" w:color="auto" w:fill="FFFFFF"/>
                    </w:rPr>
                    <w:t xml:space="preserve">Providers are expected to address each IV (CLG) and at minimum, the short-term objectives for each strategy. </w:t>
                  </w:r>
                </w:p>
                <w:p w:rsidR="00B169CE" w:rsidRDefault="00B169CE" w:rsidP="00B621EF">
                  <w:pPr>
                    <w:pStyle w:val="ListParagraph"/>
                    <w:rPr>
                      <w:rFonts w:ascii="Arial" w:hAnsi="Arial" w:cs="Arial"/>
                      <w:color w:val="222222"/>
                      <w:sz w:val="19"/>
                      <w:szCs w:val="19"/>
                      <w:shd w:val="clear" w:color="auto" w:fill="FFFFFF"/>
                    </w:rPr>
                  </w:pPr>
                </w:p>
                <w:tbl>
                  <w:tblPr>
                    <w:tblStyle w:val="TableGrid"/>
                    <w:tblW w:w="0" w:type="auto"/>
                    <w:tblLook w:val="04A0" w:firstRow="1" w:lastRow="0" w:firstColumn="1" w:lastColumn="0" w:noHBand="0" w:noVBand="1"/>
                  </w:tblPr>
                  <w:tblGrid>
                    <w:gridCol w:w="9134"/>
                  </w:tblGrid>
                  <w:tr w:rsidR="00B169CE" w:rsidTr="00B621EF">
                    <w:tc>
                      <w:tcPr>
                        <w:tcW w:w="9355" w:type="dxa"/>
                        <w:shd w:val="clear" w:color="auto" w:fill="EEECE1" w:themeFill="background2"/>
                      </w:tcPr>
                      <w:p w:rsidR="00B169CE" w:rsidRDefault="00B169CE" w:rsidP="00B621EF">
                        <w:pPr>
                          <w:pStyle w:val="ListParagraph"/>
                          <w:ind w:left="0"/>
                          <w:rPr>
                            <w:b/>
                          </w:rPr>
                        </w:pPr>
                        <w:r>
                          <w:rPr>
                            <w:b/>
                          </w:rPr>
                          <w:t>EXAMPLE</w:t>
                        </w:r>
                      </w:p>
                      <w:p w:rsidR="00B169CE" w:rsidRDefault="00B169CE" w:rsidP="00B621EF">
                        <w:pPr>
                          <w:pStyle w:val="ListParagraph"/>
                          <w:ind w:left="0"/>
                          <w:rPr>
                            <w:b/>
                          </w:rPr>
                        </w:pPr>
                      </w:p>
                      <w:p w:rsidR="00B169CE" w:rsidRPr="00DC7A35" w:rsidRDefault="00B169CE" w:rsidP="00B621EF">
                        <w:pPr>
                          <w:pStyle w:val="ListParagraph"/>
                          <w:ind w:left="0"/>
                        </w:pPr>
                        <w:r>
                          <w:t>If a provider has a 2x2, this means there are 2 IVs and 4 CFs in total. Let’s say the provider identified 3 strategies, with one strategy addressing multiple CFs. In the first year, the provider is expected to address the short-term objectives for each strategy. In do so, the provider will essentially work towards both of their CLGs.</w:t>
                        </w:r>
                      </w:p>
                    </w:tc>
                  </w:tr>
                </w:tbl>
                <w:p w:rsidR="00B169CE" w:rsidRDefault="00B169CE" w:rsidP="00B621EF">
                  <w:pPr>
                    <w:rPr>
                      <w:b/>
                    </w:rPr>
                  </w:pPr>
                </w:p>
              </w:tc>
            </w:tr>
          </w:tbl>
          <w:p w:rsidR="00B169CE" w:rsidRDefault="00B169CE" w:rsidP="00B169CE"/>
        </w:tc>
      </w:tr>
      <w:tr w:rsidR="00C9482D" w:rsidTr="00C9482D">
        <w:tc>
          <w:tcPr>
            <w:tcW w:w="9576" w:type="dxa"/>
          </w:tcPr>
          <w:p w:rsidR="00B169CE" w:rsidRDefault="00B169CE" w:rsidP="00B169CE">
            <w:pPr>
              <w:ind w:left="360"/>
            </w:pPr>
          </w:p>
          <w:p w:rsidR="00C9482D" w:rsidRDefault="00C9482D" w:rsidP="00B169CE">
            <w:pPr>
              <w:pStyle w:val="ListParagraph"/>
              <w:numPr>
                <w:ilvl w:val="0"/>
                <w:numId w:val="23"/>
              </w:numPr>
              <w:ind w:left="720"/>
            </w:pPr>
            <w:r>
              <w:t xml:space="preserve">When developing </w:t>
            </w:r>
            <w:r w:rsidR="00CA0348">
              <w:t xml:space="preserve">the </w:t>
            </w:r>
            <w:r>
              <w:t xml:space="preserve">Strategic Plan, consider what can realistically change/impact within the one (1) year timeframe – October 1, 2013 – September 30, 2014.  To do this, </w:t>
            </w:r>
            <w:r w:rsidR="00CA0348">
              <w:t>providers</w:t>
            </w:r>
            <w:r>
              <w:t xml:space="preserve"> are asked to turn </w:t>
            </w:r>
            <w:r w:rsidR="00CA0348">
              <w:t>their short</w:t>
            </w:r>
            <w:r>
              <w:t xml:space="preserve">-term outcomes into </w:t>
            </w:r>
            <w:proofErr w:type="gramStart"/>
            <w:r>
              <w:t>1 year</w:t>
            </w:r>
            <w:proofErr w:type="gramEnd"/>
            <w:r>
              <w:t xml:space="preserve"> objectives.</w:t>
            </w:r>
          </w:p>
          <w:p w:rsidR="00A06A96" w:rsidRPr="00B169CE" w:rsidRDefault="00A06A96" w:rsidP="00A06A96">
            <w:pPr>
              <w:pStyle w:val="ListParagraph"/>
            </w:pPr>
          </w:p>
        </w:tc>
      </w:tr>
      <w:tr w:rsidR="00C9482D" w:rsidTr="00C9482D">
        <w:tc>
          <w:tcPr>
            <w:tcW w:w="9576" w:type="dxa"/>
          </w:tcPr>
          <w:p w:rsidR="00C9482D" w:rsidRDefault="00C9482D" w:rsidP="00C9482D">
            <w:pPr>
              <w:pStyle w:val="ListParagraph"/>
              <w:numPr>
                <w:ilvl w:val="0"/>
                <w:numId w:val="5"/>
              </w:numPr>
            </w:pPr>
            <w:r>
              <w:t>Each strategy will have multiple short-term outcomes. Therefore, expect to have multiple objectives for each strategy.</w:t>
            </w:r>
          </w:p>
          <w:p w:rsidR="00C9482D" w:rsidRDefault="00C9482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p w:rsidR="006C158D" w:rsidRDefault="006C158D" w:rsidP="006A7C2C">
            <w:pPr>
              <w:rPr>
                <w:b/>
              </w:rPr>
            </w:pPr>
          </w:p>
        </w:tc>
      </w:tr>
      <w:tr w:rsidR="00C9482D" w:rsidTr="00C9482D">
        <w:tc>
          <w:tcPr>
            <w:tcW w:w="9576" w:type="dxa"/>
          </w:tcPr>
          <w:p w:rsidR="00C9482D" w:rsidRDefault="00C9482D" w:rsidP="00C9482D">
            <w:pPr>
              <w:pStyle w:val="ListParagraph"/>
              <w:numPr>
                <w:ilvl w:val="0"/>
                <w:numId w:val="5"/>
              </w:numPr>
            </w:pPr>
            <w:r>
              <w:lastRenderedPageBreak/>
              <w:t>See the chart below for verbs to use when crafting SMART objectives:</w:t>
            </w:r>
          </w:p>
          <w:p w:rsidR="00C9482D" w:rsidRDefault="00C9482D" w:rsidP="006A7C2C">
            <w:pPr>
              <w:rPr>
                <w:b/>
              </w:rPr>
            </w:pPr>
          </w:p>
        </w:tc>
      </w:tr>
    </w:tbl>
    <w:tbl>
      <w:tblPr>
        <w:tblW w:w="9360" w:type="dxa"/>
        <w:tblInd w:w="108" w:type="dxa"/>
        <w:tblBorders>
          <w:top w:val="nil"/>
          <w:left w:val="nil"/>
          <w:bottom w:val="nil"/>
          <w:right w:val="nil"/>
        </w:tblBorders>
        <w:shd w:val="clear" w:color="auto" w:fill="EEECE1" w:themeFill="background2"/>
        <w:tblLayout w:type="fixed"/>
        <w:tblLook w:val="0000" w:firstRow="0" w:lastRow="0" w:firstColumn="0" w:lastColumn="0" w:noHBand="0" w:noVBand="0"/>
      </w:tblPr>
      <w:tblGrid>
        <w:gridCol w:w="3049"/>
        <w:gridCol w:w="11"/>
        <w:gridCol w:w="6300"/>
      </w:tblGrid>
      <w:tr w:rsidR="008E094A" w:rsidRPr="007D3D6D" w:rsidTr="0075525B">
        <w:trPr>
          <w:trHeight w:val="728"/>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E094A" w:rsidRPr="007D3D6D" w:rsidRDefault="008E094A" w:rsidP="00C9482D">
            <w:pPr>
              <w:autoSpaceDE w:val="0"/>
              <w:autoSpaceDN w:val="0"/>
              <w:adjustRightInd w:val="0"/>
              <w:spacing w:after="0" w:line="240" w:lineRule="auto"/>
              <w:jc w:val="center"/>
              <w:rPr>
                <w:color w:val="000000"/>
                <w:sz w:val="20"/>
              </w:rPr>
            </w:pPr>
            <w:r w:rsidRPr="007D3D6D">
              <w:rPr>
                <w:b/>
                <w:bCs/>
                <w:color w:val="000000"/>
                <w:sz w:val="20"/>
              </w:rPr>
              <w:t xml:space="preserve">Type of Activity </w:t>
            </w:r>
          </w:p>
        </w:tc>
        <w:tc>
          <w:tcPr>
            <w:tcW w:w="6300"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tcPr>
          <w:p w:rsidR="008E094A" w:rsidRPr="007D3D6D" w:rsidRDefault="008E094A" w:rsidP="00B621EF">
            <w:pPr>
              <w:autoSpaceDE w:val="0"/>
              <w:autoSpaceDN w:val="0"/>
              <w:adjustRightInd w:val="0"/>
              <w:spacing w:after="0" w:line="240" w:lineRule="auto"/>
              <w:jc w:val="center"/>
              <w:rPr>
                <w:color w:val="000000"/>
                <w:sz w:val="20"/>
              </w:rPr>
            </w:pPr>
            <w:r w:rsidRPr="007D3D6D">
              <w:rPr>
                <w:b/>
                <w:bCs/>
                <w:color w:val="000000"/>
                <w:sz w:val="20"/>
              </w:rPr>
              <w:t>Verbs used for Objectives</w:t>
            </w:r>
          </w:p>
        </w:tc>
      </w:tr>
      <w:tr w:rsidR="008E094A" w:rsidRPr="007D3D6D" w:rsidTr="0075525B">
        <w:trPr>
          <w:trHeight w:val="547"/>
        </w:trPr>
        <w:tc>
          <w:tcPr>
            <w:tcW w:w="3060"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8E094A" w:rsidRPr="007D3D6D" w:rsidRDefault="008E094A" w:rsidP="00B621EF">
            <w:pPr>
              <w:autoSpaceDE w:val="0"/>
              <w:autoSpaceDN w:val="0"/>
              <w:adjustRightInd w:val="0"/>
              <w:spacing w:after="0"/>
              <w:rPr>
                <w:color w:val="000000"/>
                <w:sz w:val="20"/>
              </w:rPr>
            </w:pPr>
            <w:r w:rsidRPr="007D3D6D">
              <w:rPr>
                <w:color w:val="000000"/>
                <w:sz w:val="20"/>
              </w:rPr>
              <w:t xml:space="preserve">Knowledge </w:t>
            </w:r>
          </w:p>
        </w:tc>
        <w:tc>
          <w:tcPr>
            <w:tcW w:w="6300"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8E094A" w:rsidRPr="007D3D6D" w:rsidRDefault="008E094A" w:rsidP="00B621EF">
            <w:pPr>
              <w:autoSpaceDE w:val="0"/>
              <w:autoSpaceDN w:val="0"/>
              <w:adjustRightInd w:val="0"/>
              <w:spacing w:after="0"/>
              <w:rPr>
                <w:color w:val="000000"/>
                <w:sz w:val="20"/>
              </w:rPr>
            </w:pPr>
            <w:proofErr w:type="gramStart"/>
            <w:r w:rsidRPr="007D3D6D">
              <w:rPr>
                <w:color w:val="000000"/>
                <w:sz w:val="20"/>
              </w:rPr>
              <w:t>define</w:t>
            </w:r>
            <w:proofErr w:type="gramEnd"/>
            <w:r w:rsidRPr="007D3D6D">
              <w:rPr>
                <w:color w:val="000000"/>
                <w:sz w:val="20"/>
              </w:rPr>
              <w:t xml:space="preserve">, memorize, repeat, record, list, recall, name, relate, collect, label, specify, cite, enumerate, tell, recount </w:t>
            </w:r>
          </w:p>
        </w:tc>
      </w:tr>
      <w:tr w:rsidR="008E094A" w:rsidRPr="007D3D6D" w:rsidTr="0075525B">
        <w:trPr>
          <w:trHeight w:val="511"/>
        </w:trPr>
        <w:tc>
          <w:tcPr>
            <w:tcW w:w="3049"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8E094A" w:rsidRPr="007D3D6D" w:rsidRDefault="008E094A" w:rsidP="00B621EF">
            <w:pPr>
              <w:autoSpaceDE w:val="0"/>
              <w:autoSpaceDN w:val="0"/>
              <w:adjustRightInd w:val="0"/>
              <w:spacing w:after="0"/>
              <w:rPr>
                <w:color w:val="000000"/>
                <w:sz w:val="20"/>
              </w:rPr>
            </w:pPr>
            <w:r w:rsidRPr="007D3D6D">
              <w:rPr>
                <w:color w:val="000000"/>
                <w:sz w:val="20"/>
              </w:rPr>
              <w:t xml:space="preserve">Comprehension </w:t>
            </w:r>
          </w:p>
        </w:tc>
        <w:tc>
          <w:tcPr>
            <w:tcW w:w="6311"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8E094A" w:rsidRPr="007D3D6D" w:rsidRDefault="008E094A" w:rsidP="00B621EF">
            <w:pPr>
              <w:autoSpaceDE w:val="0"/>
              <w:autoSpaceDN w:val="0"/>
              <w:adjustRightInd w:val="0"/>
              <w:spacing w:after="0"/>
              <w:rPr>
                <w:color w:val="000000"/>
                <w:sz w:val="20"/>
              </w:rPr>
            </w:pPr>
            <w:proofErr w:type="gramStart"/>
            <w:r w:rsidRPr="007D3D6D">
              <w:rPr>
                <w:color w:val="000000"/>
                <w:sz w:val="20"/>
              </w:rPr>
              <w:t>restate</w:t>
            </w:r>
            <w:proofErr w:type="gramEnd"/>
            <w:r w:rsidRPr="007D3D6D">
              <w:rPr>
                <w:color w:val="000000"/>
                <w:sz w:val="20"/>
              </w:rPr>
              <w:t xml:space="preserve">, summarize, discuss, describe, recognize, explain, express, identify, locate, report, retell, review, translate </w:t>
            </w:r>
          </w:p>
        </w:tc>
      </w:tr>
      <w:tr w:rsidR="008E094A" w:rsidRPr="007D3D6D" w:rsidTr="0075525B">
        <w:trPr>
          <w:trHeight w:val="700"/>
        </w:trPr>
        <w:tc>
          <w:tcPr>
            <w:tcW w:w="3049" w:type="dxa"/>
            <w:tcBorders>
              <w:top w:val="single" w:sz="8" w:space="0" w:color="000000"/>
              <w:left w:val="single" w:sz="8" w:space="0" w:color="000000"/>
              <w:bottom w:val="single" w:sz="8" w:space="0" w:color="000000"/>
              <w:right w:val="single" w:sz="8" w:space="0" w:color="000000"/>
            </w:tcBorders>
            <w:shd w:val="clear" w:color="auto" w:fill="EEECE1" w:themeFill="background2"/>
          </w:tcPr>
          <w:p w:rsidR="008E094A" w:rsidRPr="007D3D6D" w:rsidRDefault="008E094A" w:rsidP="00B621EF">
            <w:pPr>
              <w:autoSpaceDE w:val="0"/>
              <w:autoSpaceDN w:val="0"/>
              <w:adjustRightInd w:val="0"/>
              <w:spacing w:after="0"/>
              <w:rPr>
                <w:color w:val="000000"/>
                <w:sz w:val="20"/>
              </w:rPr>
            </w:pPr>
            <w:r w:rsidRPr="007D3D6D">
              <w:rPr>
                <w:color w:val="000000"/>
                <w:sz w:val="20"/>
              </w:rPr>
              <w:t xml:space="preserve">Application </w:t>
            </w:r>
          </w:p>
        </w:tc>
        <w:tc>
          <w:tcPr>
            <w:tcW w:w="6311" w:type="dxa"/>
            <w:gridSpan w:val="2"/>
            <w:tcBorders>
              <w:top w:val="single" w:sz="8" w:space="0" w:color="000000"/>
              <w:left w:val="single" w:sz="8" w:space="0" w:color="000000"/>
              <w:bottom w:val="single" w:sz="8" w:space="0" w:color="000000"/>
              <w:right w:val="single" w:sz="8" w:space="0" w:color="000000"/>
            </w:tcBorders>
            <w:shd w:val="clear" w:color="auto" w:fill="EEECE1" w:themeFill="background2"/>
          </w:tcPr>
          <w:p w:rsidR="008E094A" w:rsidRPr="007D3D6D" w:rsidRDefault="008E094A" w:rsidP="00B621EF">
            <w:pPr>
              <w:autoSpaceDE w:val="0"/>
              <w:autoSpaceDN w:val="0"/>
              <w:adjustRightInd w:val="0"/>
              <w:spacing w:after="0"/>
              <w:rPr>
                <w:color w:val="000000"/>
                <w:sz w:val="20"/>
              </w:rPr>
            </w:pPr>
            <w:proofErr w:type="gramStart"/>
            <w:r w:rsidRPr="007D3D6D">
              <w:rPr>
                <w:color w:val="000000"/>
                <w:sz w:val="20"/>
              </w:rPr>
              <w:t>exhibit</w:t>
            </w:r>
            <w:proofErr w:type="gramEnd"/>
            <w:r w:rsidRPr="007D3D6D">
              <w:rPr>
                <w:color w:val="000000"/>
                <w:sz w:val="20"/>
              </w:rPr>
              <w:t xml:space="preserve">, solve, interview, simulate, apply, employ, use, demonstrate, dramatize, practice, illustrate, operate, calculate, show, experiment </w:t>
            </w:r>
          </w:p>
        </w:tc>
      </w:tr>
    </w:tbl>
    <w:p w:rsidR="00C33F46" w:rsidRPr="00C33F46" w:rsidRDefault="00C9482D" w:rsidP="00C33F46">
      <w:pPr>
        <w:rPr>
          <w:sz w:val="16"/>
        </w:rPr>
      </w:pPr>
      <w:r>
        <w:rPr>
          <w:sz w:val="16"/>
        </w:rPr>
        <w:t>Adapted</w:t>
      </w:r>
      <w:r w:rsidR="00C33F46" w:rsidRPr="00C33F46">
        <w:rPr>
          <w:sz w:val="16"/>
        </w:rPr>
        <w:t xml:space="preserve"> from SAMHSA-CAPT, Handout 3: Writing Learning Objectives – Achievement-based Learning Objectives.</w:t>
      </w:r>
    </w:p>
    <w:p w:rsidR="007D3D6D" w:rsidRDefault="007D3D6D" w:rsidP="007D3D6D">
      <w:pPr>
        <w:rPr>
          <w:b/>
        </w:rPr>
      </w:pPr>
      <w:r w:rsidRPr="00E73454">
        <w:rPr>
          <w:b/>
        </w:rPr>
        <w:t>Community Readiness (CR)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468"/>
      </w:tblGrid>
      <w:tr w:rsidR="007D3D6D" w:rsidTr="006F1E3D">
        <w:tc>
          <w:tcPr>
            <w:tcW w:w="9576" w:type="dxa"/>
            <w:gridSpan w:val="2"/>
          </w:tcPr>
          <w:p w:rsidR="007D3D6D" w:rsidRPr="000771F5" w:rsidRDefault="007D3D6D" w:rsidP="006F1E3D">
            <w:pPr>
              <w:pStyle w:val="ListParagraph"/>
              <w:numPr>
                <w:ilvl w:val="0"/>
                <w:numId w:val="10"/>
              </w:numPr>
              <w:rPr>
                <w:b/>
              </w:rPr>
            </w:pPr>
            <w:r>
              <w:t xml:space="preserve">The State is moving towards population-level change, yet most of the community readiness scores around </w:t>
            </w:r>
            <w:r w:rsidR="00A44D72">
              <w:t xml:space="preserve">under the GASPS-API initiative </w:t>
            </w:r>
            <w:r>
              <w:t xml:space="preserve">are five (5) and below. That being said, it is important for providers to ‘build’ their communities readiness while </w:t>
            </w:r>
            <w:r w:rsidRPr="000771F5">
              <w:rPr>
                <w:b/>
              </w:rPr>
              <w:t>simultaneously</w:t>
            </w:r>
            <w:r>
              <w:t xml:space="preserve"> while working towards population-level change.  </w:t>
            </w:r>
          </w:p>
          <w:p w:rsidR="007D3D6D" w:rsidRDefault="007D3D6D" w:rsidP="006F1E3D">
            <w:pPr>
              <w:rPr>
                <w:b/>
              </w:rPr>
            </w:pPr>
          </w:p>
        </w:tc>
      </w:tr>
      <w:tr w:rsidR="007D3D6D" w:rsidTr="006F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PrEx>
        <w:trPr>
          <w:gridBefore w:val="1"/>
          <w:wBefore w:w="108" w:type="dxa"/>
        </w:trPr>
        <w:tc>
          <w:tcPr>
            <w:tcW w:w="9468" w:type="dxa"/>
            <w:shd w:val="clear" w:color="auto" w:fill="EEECE1" w:themeFill="background2"/>
          </w:tcPr>
          <w:p w:rsidR="007D3D6D" w:rsidRDefault="007D3D6D" w:rsidP="006F1E3D">
            <w:pPr>
              <w:pStyle w:val="ListParagraph"/>
              <w:ind w:left="0"/>
              <w:rPr>
                <w:b/>
              </w:rPr>
            </w:pPr>
            <w:r>
              <w:rPr>
                <w:b/>
              </w:rPr>
              <w:t>EXAMPLE</w:t>
            </w:r>
          </w:p>
          <w:p w:rsidR="007D3D6D" w:rsidRDefault="007D3D6D" w:rsidP="006F1E3D">
            <w:pPr>
              <w:pStyle w:val="ListParagraph"/>
              <w:ind w:left="0"/>
              <w:rPr>
                <w:b/>
              </w:rPr>
            </w:pPr>
          </w:p>
          <w:p w:rsidR="004C1B56" w:rsidRDefault="007D3D6D" w:rsidP="00D1525D">
            <w:pPr>
              <w:pStyle w:val="ListParagraph"/>
              <w:rPr>
                <w:b/>
              </w:rPr>
            </w:pPr>
            <w:r>
              <w:t xml:space="preserve">Let’s say </w:t>
            </w:r>
            <w:r w:rsidR="00303E23">
              <w:t>a provider</w:t>
            </w:r>
            <w:r>
              <w:t xml:space="preserve"> want</w:t>
            </w:r>
            <w:r w:rsidR="00303E23">
              <w:t>s</w:t>
            </w:r>
            <w:r>
              <w:t xml:space="preserve"> to implement a Shoulder Tap Program in </w:t>
            </w:r>
            <w:r w:rsidR="00303E23">
              <w:t>their</w:t>
            </w:r>
            <w:r>
              <w:t xml:space="preserve"> community yet the community readiness is only 2.  In the first year, </w:t>
            </w:r>
            <w:r w:rsidR="00303E23">
              <w:t>the provider</w:t>
            </w:r>
            <w:r>
              <w:t xml:space="preserve"> will use the various recommended CR strategies from CR1-2 to raise the community’s</w:t>
            </w:r>
            <w:r w:rsidR="004C1B56">
              <w:t xml:space="preserve"> awareness. This can be accomplished by educating the community </w:t>
            </w:r>
            <w:r w:rsidR="00303E23">
              <w:t xml:space="preserve">about their </w:t>
            </w:r>
            <w:r>
              <w:t>specific state priority</w:t>
            </w:r>
            <w:r w:rsidR="004C1B56">
              <w:t xml:space="preserve"> as well as </w:t>
            </w:r>
            <w:r w:rsidR="00303E23">
              <w:t xml:space="preserve">the </w:t>
            </w:r>
            <w:r>
              <w:t xml:space="preserve">issue of provision to minors (Social Access) by way of shoulder tapping.  </w:t>
            </w:r>
            <w:r w:rsidR="004C1B56" w:rsidRPr="004C1B56">
              <w:rPr>
                <w:b/>
              </w:rPr>
              <w:t xml:space="preserve">The caveat is to only use the CR strategies </w:t>
            </w:r>
            <w:r w:rsidR="004C1B56" w:rsidRPr="004C1B56">
              <w:rPr>
                <w:b/>
                <w:u w:val="single"/>
              </w:rPr>
              <w:t>at or below</w:t>
            </w:r>
            <w:r w:rsidR="004C1B56" w:rsidRPr="004C1B56">
              <w:rPr>
                <w:b/>
              </w:rPr>
              <w:t xml:space="preserve"> the current community readiness.</w:t>
            </w:r>
          </w:p>
          <w:p w:rsidR="004C1B56" w:rsidRDefault="004C1B56" w:rsidP="004C1B56">
            <w:pPr>
              <w:pStyle w:val="ListParagraph"/>
              <w:numPr>
                <w:ilvl w:val="0"/>
                <w:numId w:val="30"/>
              </w:numPr>
              <w:rPr>
                <w:b/>
              </w:rPr>
            </w:pPr>
            <w:r>
              <w:rPr>
                <w:b/>
              </w:rPr>
              <w:t>Create a brochure that educates the community about shoulder tapping and the penalties for doing so that can be distributed at a local health program in high need community.</w:t>
            </w:r>
          </w:p>
          <w:p w:rsidR="004C1B56" w:rsidRDefault="004C1B56" w:rsidP="004C1B56">
            <w:pPr>
              <w:pStyle w:val="ListParagraph"/>
              <w:numPr>
                <w:ilvl w:val="0"/>
                <w:numId w:val="30"/>
              </w:numPr>
              <w:rPr>
                <w:b/>
              </w:rPr>
            </w:pPr>
            <w:r>
              <w:rPr>
                <w:b/>
              </w:rPr>
              <w:t>Requ</w:t>
            </w:r>
            <w:r w:rsidR="003A61AF">
              <w:rPr>
                <w:b/>
              </w:rPr>
              <w:t>est a meeting to share needs assessment findings with a key community leader.</w:t>
            </w:r>
          </w:p>
          <w:p w:rsidR="004C1B56" w:rsidRDefault="004C1B56" w:rsidP="00D1525D">
            <w:pPr>
              <w:pStyle w:val="ListParagraph"/>
            </w:pPr>
          </w:p>
          <w:p w:rsidR="007D3D6D" w:rsidRDefault="004C1B56" w:rsidP="00D1525D">
            <w:pPr>
              <w:pStyle w:val="ListParagraph"/>
            </w:pPr>
            <w:r>
              <w:t>Do not understate the small beginnings.  These efforts are</w:t>
            </w:r>
            <w:r w:rsidR="007D3D6D">
              <w:t xml:space="preserve"> meaningful prep work towards the eventual implementation of the Shoulder Tap Program.  </w:t>
            </w:r>
          </w:p>
          <w:p w:rsidR="006C158D" w:rsidRDefault="006C158D" w:rsidP="00D1525D">
            <w:pPr>
              <w:pStyle w:val="ListParagraph"/>
            </w:pPr>
          </w:p>
          <w:p w:rsidR="006C158D" w:rsidRPr="00D1525D" w:rsidRDefault="006C158D" w:rsidP="00D1525D">
            <w:pPr>
              <w:pStyle w:val="ListParagraph"/>
            </w:pPr>
          </w:p>
        </w:tc>
      </w:tr>
    </w:tbl>
    <w:p w:rsidR="00D1525D" w:rsidRPr="00D1525D" w:rsidRDefault="00D1525D" w:rsidP="000771F5">
      <w:pPr>
        <w:ind w:left="360"/>
        <w:rPr>
          <w:b/>
          <w:sz w:val="6"/>
        </w:rPr>
      </w:pPr>
    </w:p>
    <w:p w:rsidR="00FA728E" w:rsidRDefault="000E5267" w:rsidP="000771F5">
      <w:pPr>
        <w:ind w:left="360"/>
        <w:rPr>
          <w:b/>
        </w:rPr>
      </w:pPr>
      <w:r w:rsidRPr="000771F5">
        <w:rPr>
          <w:b/>
        </w:rPr>
        <w:t>Strategic Plan Development Tool</w:t>
      </w:r>
      <w:r w:rsidR="00FE79E0" w:rsidRPr="000771F5">
        <w:rPr>
          <w:b/>
        </w:rPr>
        <w:t xml:space="preserve"> (SPDT)</w:t>
      </w:r>
      <w:r w:rsidR="0019643C" w:rsidRPr="000771F5">
        <w:rPr>
          <w:b/>
        </w:rPr>
        <w:t xml:space="preserve"> – p.31</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198"/>
      </w:tblGrid>
      <w:tr w:rsidR="00C9482D" w:rsidTr="0075525B">
        <w:tc>
          <w:tcPr>
            <w:tcW w:w="9468" w:type="dxa"/>
            <w:gridSpan w:val="2"/>
          </w:tcPr>
          <w:p w:rsidR="00C9482D" w:rsidRPr="004C740D" w:rsidRDefault="00C9482D" w:rsidP="00C9482D">
            <w:pPr>
              <w:pStyle w:val="ListParagraph"/>
              <w:numPr>
                <w:ilvl w:val="0"/>
                <w:numId w:val="9"/>
              </w:numPr>
              <w:rPr>
                <w:b/>
              </w:rPr>
            </w:pPr>
            <w:r>
              <w:t>Complete one SPDT per strategy for every community with the same CR score.</w:t>
            </w:r>
          </w:p>
          <w:p w:rsidR="00C9482D" w:rsidRDefault="00C9482D" w:rsidP="000771F5">
            <w:pPr>
              <w:rPr>
                <w:b/>
              </w:rPr>
            </w:pPr>
          </w:p>
        </w:tc>
      </w:tr>
      <w:tr w:rsidR="00C9482D" w:rsidTr="0075525B">
        <w:tc>
          <w:tcPr>
            <w:tcW w:w="9468" w:type="dxa"/>
            <w:gridSpan w:val="2"/>
          </w:tcPr>
          <w:p w:rsidR="00C9482D" w:rsidRDefault="00C9482D" w:rsidP="00C9482D">
            <w:pPr>
              <w:pStyle w:val="ListParagraph"/>
              <w:numPr>
                <w:ilvl w:val="0"/>
                <w:numId w:val="9"/>
              </w:numPr>
            </w:pPr>
            <w:r>
              <w:t xml:space="preserve">If providers have communities with different levels of CR scores, </w:t>
            </w:r>
            <w:r w:rsidR="00A44D72">
              <w:t>it will be necessary</w:t>
            </w:r>
            <w:r>
              <w:t xml:space="preserve"> to complete a SPDT that aligns with the CR strategies at or below the community’s stage of readiness.   </w:t>
            </w:r>
          </w:p>
          <w:p w:rsidR="00B169CE" w:rsidRDefault="00B169CE" w:rsidP="00B169CE"/>
          <w:p w:rsidR="00C9482D" w:rsidRDefault="00C9482D" w:rsidP="000771F5"/>
          <w:p w:rsidR="00B169CE" w:rsidRDefault="00B169CE" w:rsidP="000771F5">
            <w:pPr>
              <w:rPr>
                <w:b/>
              </w:rPr>
            </w:pPr>
          </w:p>
        </w:tc>
      </w:tr>
      <w:tr w:rsidR="00ED6433" w:rsidTr="00755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hemeFill="background2"/>
        </w:tblPrEx>
        <w:tc>
          <w:tcPr>
            <w:tcW w:w="9468" w:type="dxa"/>
            <w:gridSpan w:val="2"/>
            <w:shd w:val="clear" w:color="auto" w:fill="EEECE1" w:themeFill="background2"/>
          </w:tcPr>
          <w:p w:rsidR="00ED6433" w:rsidRDefault="00ED6433" w:rsidP="00ED6433">
            <w:pPr>
              <w:rPr>
                <w:b/>
              </w:rPr>
            </w:pPr>
            <w:r>
              <w:rPr>
                <w:b/>
              </w:rPr>
              <w:lastRenderedPageBreak/>
              <w:t>EXAMPLE</w:t>
            </w:r>
          </w:p>
          <w:p w:rsidR="00ED6433" w:rsidRDefault="00ED6433" w:rsidP="00ED6433">
            <w:pPr>
              <w:rPr>
                <w:b/>
              </w:rPr>
            </w:pPr>
          </w:p>
          <w:p w:rsidR="00ED6433" w:rsidRPr="00ED6433" w:rsidRDefault="00ED6433" w:rsidP="00ED6433">
            <w:r w:rsidRPr="00ED6433">
              <w:t xml:space="preserve">For example, if providers have two assigned communities with different community readiness scores – a readiness score of 2 in one community and a 4 in the other – the community level </w:t>
            </w:r>
            <w:r w:rsidRPr="00ED6433">
              <w:rPr>
                <w:color w:val="FF0000"/>
              </w:rPr>
              <w:t>strategies</w:t>
            </w:r>
            <w:r w:rsidRPr="00ED6433">
              <w:t xml:space="preserve"> will be the same for each community; however the CR activities integrated into the </w:t>
            </w:r>
            <w:r w:rsidRPr="00ED6433">
              <w:rPr>
                <w:color w:val="FF0000"/>
              </w:rPr>
              <w:t xml:space="preserve">overall strategy activities </w:t>
            </w:r>
            <w:r w:rsidRPr="00ED6433">
              <w:t xml:space="preserve">will differ to some extent. These differences need to accurately reflect CR strategies at or below the community’s readiness score in the SPDT. </w:t>
            </w:r>
            <w:r w:rsidRPr="00ED6433">
              <w:rPr>
                <w:color w:val="FF0000"/>
              </w:rPr>
              <w:t xml:space="preserve"> </w:t>
            </w:r>
          </w:p>
          <w:p w:rsidR="00ED6433" w:rsidRDefault="00ED6433" w:rsidP="00ED6433">
            <w:pPr>
              <w:pStyle w:val="ListParagraph"/>
              <w:numPr>
                <w:ilvl w:val="2"/>
                <w:numId w:val="9"/>
              </w:numPr>
            </w:pPr>
            <w:r>
              <w:t>CR 2 – One-on-one visits with community leaders; Raise awareness in a church bulletins</w:t>
            </w:r>
          </w:p>
          <w:p w:rsidR="00ED6433" w:rsidRPr="00D1525D" w:rsidRDefault="00ED6433" w:rsidP="00ED6433">
            <w:pPr>
              <w:pStyle w:val="ListParagraph"/>
              <w:numPr>
                <w:ilvl w:val="2"/>
                <w:numId w:val="9"/>
              </w:numPr>
            </w:pPr>
            <w:r>
              <w:t>CR 4 – All of the above PLUS radio and television PSAs</w:t>
            </w:r>
          </w:p>
        </w:tc>
      </w:tr>
      <w:tr w:rsidR="00C9482D" w:rsidTr="00755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198" w:type="dxa"/>
            <w:tcBorders>
              <w:top w:val="nil"/>
              <w:left w:val="nil"/>
              <w:bottom w:val="nil"/>
              <w:right w:val="nil"/>
            </w:tcBorders>
          </w:tcPr>
          <w:p w:rsidR="00C9482D" w:rsidRDefault="00C9482D" w:rsidP="00C9482D">
            <w:pPr>
              <w:pStyle w:val="ListParagraph"/>
            </w:pPr>
          </w:p>
          <w:p w:rsidR="00C9482D" w:rsidRDefault="00C9482D" w:rsidP="00C9482D">
            <w:pPr>
              <w:pStyle w:val="ListParagraph"/>
              <w:numPr>
                <w:ilvl w:val="0"/>
                <w:numId w:val="9"/>
              </w:numPr>
            </w:pPr>
            <w:r>
              <w:t>When completing this form, list all of the IVs and CFs associated with this particular strategy. Also, indicate each objective associated with this strategy as well.</w:t>
            </w:r>
          </w:p>
          <w:p w:rsidR="00C9482D" w:rsidRDefault="00C9482D" w:rsidP="00C9482D"/>
        </w:tc>
      </w:tr>
      <w:tr w:rsidR="007D3D6D" w:rsidTr="007552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70" w:type="dxa"/>
        </w:trPr>
        <w:tc>
          <w:tcPr>
            <w:tcW w:w="9198" w:type="dxa"/>
            <w:tcBorders>
              <w:top w:val="nil"/>
              <w:left w:val="nil"/>
              <w:bottom w:val="nil"/>
              <w:right w:val="nil"/>
            </w:tcBorders>
          </w:tcPr>
          <w:p w:rsidR="007D3D6D" w:rsidRDefault="007D3D6D" w:rsidP="00303E23">
            <w:pPr>
              <w:pStyle w:val="ListParagraph"/>
              <w:numPr>
                <w:ilvl w:val="0"/>
                <w:numId w:val="9"/>
              </w:numPr>
            </w:pPr>
            <w:r>
              <w:t xml:space="preserve">Data sources will come from </w:t>
            </w:r>
            <w:r w:rsidR="00303E23">
              <w:t xml:space="preserve">the approved </w:t>
            </w:r>
            <w:r>
              <w:t>NA and/or evaluation tools.  Providers should refer back to the Phase 4 Spreadsheet to determine which data source(s) informed their selection of the various CF.</w:t>
            </w:r>
          </w:p>
        </w:tc>
      </w:tr>
    </w:tbl>
    <w:p w:rsidR="007D3D6D" w:rsidRDefault="007D3D6D" w:rsidP="007D3D6D">
      <w:pPr>
        <w:rPr>
          <w:b/>
        </w:rPr>
      </w:pPr>
      <w:r w:rsidRPr="00FA728E">
        <w:rPr>
          <w:b/>
        </w:rPr>
        <w:t>“If-Then” Statements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D3D6D" w:rsidTr="006F1E3D">
        <w:tc>
          <w:tcPr>
            <w:tcW w:w="9576" w:type="dxa"/>
          </w:tcPr>
          <w:p w:rsidR="007D3D6D" w:rsidRPr="00C9482D" w:rsidRDefault="007D3D6D" w:rsidP="006F1E3D">
            <w:pPr>
              <w:pStyle w:val="ListParagraph"/>
              <w:numPr>
                <w:ilvl w:val="0"/>
                <w:numId w:val="11"/>
              </w:numPr>
              <w:rPr>
                <w:b/>
              </w:rPr>
            </w:pPr>
            <w:r>
              <w:t>Only do “If-Then” statements for the CLLM not for the SLLM.</w:t>
            </w:r>
          </w:p>
        </w:tc>
      </w:tr>
      <w:tr w:rsidR="007D3D6D" w:rsidTr="006F1E3D">
        <w:tc>
          <w:tcPr>
            <w:tcW w:w="9576" w:type="dxa"/>
          </w:tcPr>
          <w:p w:rsidR="007D3D6D" w:rsidRDefault="007D3D6D" w:rsidP="006F1E3D">
            <w:pPr>
              <w:pStyle w:val="ListParagraph"/>
              <w:numPr>
                <w:ilvl w:val="0"/>
                <w:numId w:val="11"/>
              </w:numPr>
            </w:pPr>
            <w:r>
              <w:t xml:space="preserve">Do not include the outcomes </w:t>
            </w:r>
            <w:proofErr w:type="gramStart"/>
            <w:r>
              <w:t>In</w:t>
            </w:r>
            <w:proofErr w:type="gramEnd"/>
            <w:r>
              <w:t xml:space="preserve"> the “If-Then” statements.</w:t>
            </w:r>
          </w:p>
        </w:tc>
      </w:tr>
    </w:tbl>
    <w:p w:rsidR="007D3D6D" w:rsidRPr="000771F5" w:rsidRDefault="007D3D6D" w:rsidP="007D3D6D">
      <w:pPr>
        <w:pStyle w:val="ListParagraph"/>
        <w:rPr>
          <w:b/>
        </w:rPr>
      </w:pPr>
    </w:p>
    <w:tbl>
      <w:tblPr>
        <w:tblStyle w:val="TableGrid"/>
        <w:tblW w:w="0" w:type="auto"/>
        <w:tblInd w:w="108" w:type="dxa"/>
        <w:shd w:val="clear" w:color="auto" w:fill="EEECE1" w:themeFill="background2"/>
        <w:tblLook w:val="04A0" w:firstRow="1" w:lastRow="0" w:firstColumn="1" w:lastColumn="0" w:noHBand="0" w:noVBand="1"/>
      </w:tblPr>
      <w:tblGrid>
        <w:gridCol w:w="9468"/>
      </w:tblGrid>
      <w:tr w:rsidR="007D3D6D" w:rsidTr="006F1E3D">
        <w:tc>
          <w:tcPr>
            <w:tcW w:w="9468" w:type="dxa"/>
            <w:shd w:val="clear" w:color="auto" w:fill="EEECE1" w:themeFill="background2"/>
          </w:tcPr>
          <w:p w:rsidR="007D3D6D" w:rsidRDefault="007D3D6D" w:rsidP="006F1E3D">
            <w:pPr>
              <w:pStyle w:val="ListParagraph"/>
              <w:ind w:left="0"/>
              <w:rPr>
                <w:b/>
              </w:rPr>
            </w:pPr>
            <w:r>
              <w:rPr>
                <w:b/>
              </w:rPr>
              <w:t>EXAMPLE</w:t>
            </w:r>
          </w:p>
          <w:p w:rsidR="007D3D6D" w:rsidRDefault="007D3D6D" w:rsidP="006F1E3D">
            <w:pPr>
              <w:pStyle w:val="ListParagraph"/>
              <w:ind w:left="0"/>
              <w:rPr>
                <w:b/>
              </w:rPr>
            </w:pPr>
          </w:p>
          <w:p w:rsidR="007D3D6D" w:rsidRPr="00951DEF" w:rsidRDefault="007D3D6D" w:rsidP="006F1E3D">
            <w:pPr>
              <w:pStyle w:val="ListParagraph"/>
              <w:numPr>
                <w:ilvl w:val="1"/>
                <w:numId w:val="11"/>
              </w:numPr>
              <w:ind w:left="180" w:firstLine="0"/>
              <w:rPr>
                <w:b/>
              </w:rPr>
            </w:pPr>
            <w:r w:rsidRPr="00951DEF">
              <w:rPr>
                <w:b/>
              </w:rPr>
              <w:t>Priority:</w:t>
            </w:r>
            <w:r>
              <w:t xml:space="preserve"> Reduce binge/heavy among 18-25</w:t>
            </w:r>
          </w:p>
          <w:p w:rsidR="007D3D6D" w:rsidRPr="00951DEF" w:rsidRDefault="007D3D6D" w:rsidP="006F1E3D">
            <w:pPr>
              <w:pStyle w:val="ListParagraph"/>
              <w:numPr>
                <w:ilvl w:val="1"/>
                <w:numId w:val="11"/>
              </w:numPr>
              <w:ind w:left="180" w:firstLine="0"/>
              <w:rPr>
                <w:b/>
              </w:rPr>
            </w:pPr>
            <w:r w:rsidRPr="00951DEF">
              <w:rPr>
                <w:b/>
              </w:rPr>
              <w:t>IV:</w:t>
            </w:r>
            <w:r>
              <w:t xml:space="preserve"> Social Community Norms</w:t>
            </w:r>
          </w:p>
          <w:p w:rsidR="007D3D6D" w:rsidRPr="00951DEF" w:rsidRDefault="007D3D6D" w:rsidP="006F1E3D">
            <w:pPr>
              <w:pStyle w:val="ListParagraph"/>
              <w:numPr>
                <w:ilvl w:val="1"/>
                <w:numId w:val="11"/>
              </w:numPr>
              <w:ind w:left="180" w:firstLine="0"/>
              <w:rPr>
                <w:b/>
              </w:rPr>
            </w:pPr>
            <w:r w:rsidRPr="00951DEF">
              <w:rPr>
                <w:b/>
              </w:rPr>
              <w:t>CF:</w:t>
            </w:r>
            <w:r>
              <w:t xml:space="preserve"> Youth’s perceptions of peer norms</w:t>
            </w:r>
          </w:p>
          <w:p w:rsidR="007D3D6D" w:rsidRPr="000771F5" w:rsidRDefault="007D3D6D" w:rsidP="006F1E3D">
            <w:pPr>
              <w:pStyle w:val="ListParagraph"/>
              <w:numPr>
                <w:ilvl w:val="1"/>
                <w:numId w:val="11"/>
              </w:numPr>
              <w:ind w:left="180" w:firstLine="0"/>
              <w:rPr>
                <w:b/>
              </w:rPr>
            </w:pPr>
            <w:r w:rsidRPr="00951DEF">
              <w:rPr>
                <w:b/>
              </w:rPr>
              <w:t>Strategy:</w:t>
            </w:r>
            <w:r>
              <w:t xml:space="preserve"> Most of Us – Positive Social Norms Campaign</w:t>
            </w:r>
          </w:p>
          <w:p w:rsidR="007D3D6D" w:rsidRDefault="007D3D6D" w:rsidP="006F1E3D">
            <w:pPr>
              <w:rPr>
                <w:b/>
              </w:rPr>
            </w:pPr>
          </w:p>
          <w:p w:rsidR="007D3D6D" w:rsidRPr="000771F5" w:rsidRDefault="007D3D6D" w:rsidP="006F1E3D">
            <w:pPr>
              <w:rPr>
                <w:b/>
              </w:rPr>
            </w:pPr>
            <w:r w:rsidRPr="000771F5">
              <w:rPr>
                <w:b/>
              </w:rPr>
              <w:t xml:space="preserve"> “If-Then” statement:</w:t>
            </w:r>
          </w:p>
          <w:p w:rsidR="007D3D6D" w:rsidRDefault="007D3D6D" w:rsidP="006F1E3D">
            <w:pPr>
              <w:jc w:val="both"/>
              <w:rPr>
                <w:b/>
              </w:rPr>
            </w:pPr>
            <w:r>
              <w:t xml:space="preserve">If we use the </w:t>
            </w:r>
            <w:r w:rsidRPr="00EC6D6D">
              <w:rPr>
                <w:u w:val="single"/>
              </w:rPr>
              <w:t>Most of Us campaign</w:t>
            </w:r>
            <w:r>
              <w:t xml:space="preserve"> to combat peer norms that people 18-25 believe all fun activities include alcohol, we will </w:t>
            </w:r>
            <w:r w:rsidRPr="00EC6D6D">
              <w:rPr>
                <w:u w:val="single"/>
              </w:rPr>
              <w:t>change social community norms</w:t>
            </w:r>
            <w:r>
              <w:t xml:space="preserve">. If we change social community norms, we will </w:t>
            </w:r>
            <w:r w:rsidRPr="00EC6D6D">
              <w:rPr>
                <w:u w:val="single"/>
              </w:rPr>
              <w:t>impact binge and heavy drinking</w:t>
            </w:r>
            <w:r>
              <w:t xml:space="preserve"> rates among 18-25 in our community.</w:t>
            </w:r>
          </w:p>
        </w:tc>
      </w:tr>
    </w:tbl>
    <w:p w:rsidR="0066398D" w:rsidRPr="0066398D" w:rsidRDefault="0066398D" w:rsidP="006A7C2C">
      <w:pPr>
        <w:rPr>
          <w:b/>
          <w:sz w:val="4"/>
        </w:rPr>
      </w:pPr>
    </w:p>
    <w:p w:rsidR="006A7C2C" w:rsidRDefault="00626C5B" w:rsidP="006A7C2C">
      <w:pPr>
        <w:rPr>
          <w:b/>
        </w:rPr>
      </w:pPr>
      <w:r>
        <w:rPr>
          <w:b/>
        </w:rPr>
        <w:t>Budget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D3D6D" w:rsidTr="007D3D6D">
        <w:tc>
          <w:tcPr>
            <w:tcW w:w="9576" w:type="dxa"/>
          </w:tcPr>
          <w:p w:rsidR="003A61AF" w:rsidRPr="009B46E9" w:rsidRDefault="007D3D6D" w:rsidP="003A61AF">
            <w:pPr>
              <w:pStyle w:val="ListParagraph"/>
              <w:numPr>
                <w:ilvl w:val="0"/>
                <w:numId w:val="12"/>
              </w:numPr>
              <w:rPr>
                <w:b/>
              </w:rPr>
            </w:pPr>
            <w:r w:rsidRPr="009B46E9">
              <w:t xml:space="preserve">The State </w:t>
            </w:r>
            <w:r w:rsidR="0031780D" w:rsidRPr="009B46E9">
              <w:t>suggests that budgets</w:t>
            </w:r>
            <w:r w:rsidRPr="009B46E9">
              <w:t xml:space="preserve"> reflect the </w:t>
            </w:r>
            <w:r w:rsidR="0031780D" w:rsidRPr="009B46E9">
              <w:t>FY13</w:t>
            </w:r>
            <w:r w:rsidRPr="009B46E9">
              <w:t xml:space="preserve"> contract amount</w:t>
            </w:r>
            <w:r w:rsidR="0031780D" w:rsidRPr="009B46E9">
              <w:rPr>
                <w:b/>
              </w:rPr>
              <w:t xml:space="preserve"> minus</w:t>
            </w:r>
            <w:r w:rsidR="0031780D" w:rsidRPr="009B46E9">
              <w:t xml:space="preserve"> the $30,000 that was allotted for the Alcohol Media campaign. </w:t>
            </w:r>
          </w:p>
          <w:p w:rsidR="007D3D6D" w:rsidRPr="009B46E9" w:rsidRDefault="007D3D6D" w:rsidP="006A7C2C">
            <w:pPr>
              <w:rPr>
                <w:b/>
              </w:rPr>
            </w:pPr>
          </w:p>
        </w:tc>
      </w:tr>
      <w:tr w:rsidR="007D3D6D" w:rsidTr="007D3D6D">
        <w:tc>
          <w:tcPr>
            <w:tcW w:w="9576" w:type="dxa"/>
          </w:tcPr>
          <w:p w:rsidR="007D3D6D" w:rsidRPr="009B46E9" w:rsidRDefault="003A61AF" w:rsidP="003A61AF">
            <w:pPr>
              <w:pStyle w:val="ListParagraph"/>
              <w:numPr>
                <w:ilvl w:val="0"/>
                <w:numId w:val="12"/>
              </w:numPr>
            </w:pPr>
            <w:r w:rsidRPr="009B46E9">
              <w:t xml:space="preserve">Providers are encouraged to consider pre-implementation strategies that can be conducted under the FY13 contract year. </w:t>
            </w:r>
            <w:r w:rsidR="009B3710">
              <w:t xml:space="preserve"> Please contact your RPS for examples on what</w:t>
            </w:r>
            <w:r w:rsidR="007817DB">
              <w:t xml:space="preserve"> is permissible.</w:t>
            </w:r>
            <w:r w:rsidR="009B3710">
              <w:t xml:space="preserve"> </w:t>
            </w:r>
          </w:p>
          <w:p w:rsidR="003A61AF" w:rsidRPr="009B46E9" w:rsidRDefault="003A61AF" w:rsidP="009B3710"/>
        </w:tc>
      </w:tr>
    </w:tbl>
    <w:p w:rsidR="005B6A8F" w:rsidRDefault="005B6A8F">
      <w:pPr>
        <w:rPr>
          <w:b/>
        </w:rPr>
      </w:pPr>
      <w:r>
        <w:rPr>
          <w:b/>
        </w:rPr>
        <w:t>Addressing Cultural Competency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5B6A8F" w:rsidTr="00B114FA">
        <w:tc>
          <w:tcPr>
            <w:tcW w:w="9576" w:type="dxa"/>
          </w:tcPr>
          <w:p w:rsidR="005B6A8F" w:rsidRDefault="005B6A8F" w:rsidP="009B3710">
            <w:pPr>
              <w:pStyle w:val="ListParagraph"/>
              <w:numPr>
                <w:ilvl w:val="0"/>
                <w:numId w:val="18"/>
              </w:numPr>
            </w:pPr>
            <w:r>
              <w:t xml:space="preserve">Although providers will refer to the Cultural Competency section of the Capacity Plan to address some portions of this section, </w:t>
            </w:r>
            <w:r w:rsidR="009B3710">
              <w:t xml:space="preserve">expect to develop this section so that it specifically addresses </w:t>
            </w:r>
            <w:r w:rsidR="00B114FA">
              <w:t xml:space="preserve">cultural competency in relation to the </w:t>
            </w:r>
            <w:r w:rsidR="00A44D72">
              <w:t>selected strategies</w:t>
            </w:r>
            <w:r w:rsidR="00B114FA">
              <w:t>.</w:t>
            </w:r>
          </w:p>
        </w:tc>
      </w:tr>
    </w:tbl>
    <w:p w:rsidR="006F14B0" w:rsidRPr="006F14B0" w:rsidRDefault="006F14B0" w:rsidP="007817DB">
      <w:pPr>
        <w:pStyle w:val="NormalWeb"/>
        <w:spacing w:before="0" w:beforeAutospacing="0" w:after="0" w:afterAutospacing="0"/>
        <w:jc w:val="both"/>
        <w:rPr>
          <w:color w:val="000000"/>
          <w:sz w:val="27"/>
          <w:szCs w:val="27"/>
        </w:rPr>
      </w:pPr>
    </w:p>
    <w:sectPr w:rsidR="006F14B0" w:rsidRPr="006F14B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D8" w:rsidRDefault="00AF3AD8" w:rsidP="005B6A8F">
      <w:pPr>
        <w:spacing w:after="0" w:line="240" w:lineRule="auto"/>
      </w:pPr>
      <w:r>
        <w:separator/>
      </w:r>
    </w:p>
  </w:endnote>
  <w:endnote w:type="continuationSeparator" w:id="0">
    <w:p w:rsidR="00AF3AD8" w:rsidRDefault="00AF3AD8" w:rsidP="005B6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773708"/>
      <w:docPartObj>
        <w:docPartGallery w:val="Page Numbers (Bottom of Page)"/>
        <w:docPartUnique/>
      </w:docPartObj>
    </w:sdtPr>
    <w:sdtEndPr>
      <w:rPr>
        <w:color w:val="808080" w:themeColor="background1" w:themeShade="80"/>
        <w:spacing w:val="60"/>
      </w:rPr>
    </w:sdtEndPr>
    <w:sdtContent>
      <w:p w:rsidR="007651BB" w:rsidRDefault="007651B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06B68" w:rsidRPr="00D06B68">
          <w:rPr>
            <w:b/>
            <w:bCs/>
            <w:noProof/>
          </w:rPr>
          <w:t>1</w:t>
        </w:r>
        <w:r>
          <w:rPr>
            <w:b/>
            <w:bCs/>
            <w:noProof/>
          </w:rPr>
          <w:fldChar w:fldCharType="end"/>
        </w:r>
        <w:r>
          <w:rPr>
            <w:b/>
            <w:bCs/>
          </w:rPr>
          <w:t xml:space="preserve"> | </w:t>
        </w:r>
        <w:r>
          <w:rPr>
            <w:color w:val="808080" w:themeColor="background1" w:themeShade="80"/>
            <w:spacing w:val="60"/>
          </w:rPr>
          <w:t>GASPS-API Step3 - Planning Tip Sheet</w:t>
        </w:r>
      </w:p>
    </w:sdtContent>
  </w:sdt>
  <w:p w:rsidR="005B6A8F" w:rsidRDefault="005B6A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D8" w:rsidRDefault="00AF3AD8" w:rsidP="005B6A8F">
      <w:pPr>
        <w:spacing w:after="0" w:line="240" w:lineRule="auto"/>
      </w:pPr>
      <w:r>
        <w:separator/>
      </w:r>
    </w:p>
  </w:footnote>
  <w:footnote w:type="continuationSeparator" w:id="0">
    <w:p w:rsidR="00AF3AD8" w:rsidRDefault="00AF3AD8" w:rsidP="005B6A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27727"/>
    <w:multiLevelType w:val="hybridMultilevel"/>
    <w:tmpl w:val="E53E37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85EF3"/>
    <w:multiLevelType w:val="hybridMultilevel"/>
    <w:tmpl w:val="BB4A9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69B"/>
    <w:multiLevelType w:val="hybridMultilevel"/>
    <w:tmpl w:val="508224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3B5EFA"/>
    <w:multiLevelType w:val="hybridMultilevel"/>
    <w:tmpl w:val="68B0C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D6299D"/>
    <w:multiLevelType w:val="hybridMultilevel"/>
    <w:tmpl w:val="4E9E90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5F3202"/>
    <w:multiLevelType w:val="multilevel"/>
    <w:tmpl w:val="444A5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D348D"/>
    <w:multiLevelType w:val="multilevel"/>
    <w:tmpl w:val="791E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33F24"/>
    <w:multiLevelType w:val="hybridMultilevel"/>
    <w:tmpl w:val="F08CE6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5A1573"/>
    <w:multiLevelType w:val="multilevel"/>
    <w:tmpl w:val="1AFC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712DDE"/>
    <w:multiLevelType w:val="hybridMultilevel"/>
    <w:tmpl w:val="D4848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922E2E"/>
    <w:multiLevelType w:val="hybridMultilevel"/>
    <w:tmpl w:val="CEE600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34604B"/>
    <w:multiLevelType w:val="hybridMultilevel"/>
    <w:tmpl w:val="F72295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4B560E"/>
    <w:multiLevelType w:val="hybridMultilevel"/>
    <w:tmpl w:val="1A0820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3605AC"/>
    <w:multiLevelType w:val="multilevel"/>
    <w:tmpl w:val="754A1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B20F7A"/>
    <w:multiLevelType w:val="hybridMultilevel"/>
    <w:tmpl w:val="C002A7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43298"/>
    <w:multiLevelType w:val="hybridMultilevel"/>
    <w:tmpl w:val="571E7F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16659"/>
    <w:multiLevelType w:val="hybridMultilevel"/>
    <w:tmpl w:val="49AE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158D0"/>
    <w:multiLevelType w:val="hybridMultilevel"/>
    <w:tmpl w:val="CA188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9B773B"/>
    <w:multiLevelType w:val="hybridMultilevel"/>
    <w:tmpl w:val="39863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F32834"/>
    <w:multiLevelType w:val="hybridMultilevel"/>
    <w:tmpl w:val="19ECEE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A81FAC"/>
    <w:multiLevelType w:val="hybridMultilevel"/>
    <w:tmpl w:val="A4C492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F0E2149"/>
    <w:multiLevelType w:val="hybridMultilevel"/>
    <w:tmpl w:val="3940D5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07EB9"/>
    <w:multiLevelType w:val="hybridMultilevel"/>
    <w:tmpl w:val="9168DC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B22EFE"/>
    <w:multiLevelType w:val="hybridMultilevel"/>
    <w:tmpl w:val="776C06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D4C1B"/>
    <w:multiLevelType w:val="hybridMultilevel"/>
    <w:tmpl w:val="E51294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A509C6"/>
    <w:multiLevelType w:val="hybridMultilevel"/>
    <w:tmpl w:val="59A2FA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79207A"/>
    <w:multiLevelType w:val="multilevel"/>
    <w:tmpl w:val="1F601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C840FC"/>
    <w:multiLevelType w:val="hybridMultilevel"/>
    <w:tmpl w:val="7368CD1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714186"/>
    <w:multiLevelType w:val="hybridMultilevel"/>
    <w:tmpl w:val="1E8C6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87673A"/>
    <w:multiLevelType w:val="multilevel"/>
    <w:tmpl w:val="D0D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E3545B"/>
    <w:multiLevelType w:val="hybridMultilevel"/>
    <w:tmpl w:val="F6ACE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5"/>
  </w:num>
  <w:num w:numId="5">
    <w:abstractNumId w:val="3"/>
  </w:num>
  <w:num w:numId="6">
    <w:abstractNumId w:val="7"/>
  </w:num>
  <w:num w:numId="7">
    <w:abstractNumId w:val="14"/>
  </w:num>
  <w:num w:numId="8">
    <w:abstractNumId w:val="21"/>
  </w:num>
  <w:num w:numId="9">
    <w:abstractNumId w:val="23"/>
  </w:num>
  <w:num w:numId="10">
    <w:abstractNumId w:val="17"/>
  </w:num>
  <w:num w:numId="11">
    <w:abstractNumId w:val="24"/>
  </w:num>
  <w:num w:numId="12">
    <w:abstractNumId w:val="2"/>
  </w:num>
  <w:num w:numId="13">
    <w:abstractNumId w:val="28"/>
  </w:num>
  <w:num w:numId="14">
    <w:abstractNumId w:val="27"/>
  </w:num>
  <w:num w:numId="15">
    <w:abstractNumId w:val="4"/>
  </w:num>
  <w:num w:numId="16">
    <w:abstractNumId w:val="11"/>
  </w:num>
  <w:num w:numId="17">
    <w:abstractNumId w:val="1"/>
  </w:num>
  <w:num w:numId="18">
    <w:abstractNumId w:val="19"/>
  </w:num>
  <w:num w:numId="19">
    <w:abstractNumId w:val="15"/>
  </w:num>
  <w:num w:numId="20">
    <w:abstractNumId w:val="22"/>
  </w:num>
  <w:num w:numId="21">
    <w:abstractNumId w:val="16"/>
  </w:num>
  <w:num w:numId="22">
    <w:abstractNumId w:val="30"/>
  </w:num>
  <w:num w:numId="23">
    <w:abstractNumId w:val="12"/>
  </w:num>
  <w:num w:numId="24">
    <w:abstractNumId w:val="26"/>
  </w:num>
  <w:num w:numId="25">
    <w:abstractNumId w:val="5"/>
  </w:num>
  <w:num w:numId="26">
    <w:abstractNumId w:val="29"/>
  </w:num>
  <w:num w:numId="27">
    <w:abstractNumId w:val="6"/>
  </w:num>
  <w:num w:numId="28">
    <w:abstractNumId w:val="8"/>
  </w:num>
  <w:num w:numId="29">
    <w:abstractNumId w:val="13"/>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6D"/>
    <w:rsid w:val="00007464"/>
    <w:rsid w:val="00042376"/>
    <w:rsid w:val="000771F5"/>
    <w:rsid w:val="00087A0B"/>
    <w:rsid w:val="000D0534"/>
    <w:rsid w:val="000E5267"/>
    <w:rsid w:val="001217D5"/>
    <w:rsid w:val="00170DEF"/>
    <w:rsid w:val="0019643C"/>
    <w:rsid w:val="001B2528"/>
    <w:rsid w:val="00231F2B"/>
    <w:rsid w:val="002329F4"/>
    <w:rsid w:val="00265483"/>
    <w:rsid w:val="00290ED2"/>
    <w:rsid w:val="002C2272"/>
    <w:rsid w:val="002C2E92"/>
    <w:rsid w:val="002F7D99"/>
    <w:rsid w:val="00303E23"/>
    <w:rsid w:val="0031780D"/>
    <w:rsid w:val="00344876"/>
    <w:rsid w:val="003476E3"/>
    <w:rsid w:val="00352D29"/>
    <w:rsid w:val="003A61AF"/>
    <w:rsid w:val="003B25A7"/>
    <w:rsid w:val="003B5815"/>
    <w:rsid w:val="00404D91"/>
    <w:rsid w:val="004842DB"/>
    <w:rsid w:val="004866DF"/>
    <w:rsid w:val="004A5584"/>
    <w:rsid w:val="004C1B56"/>
    <w:rsid w:val="004C20EE"/>
    <w:rsid w:val="004C740D"/>
    <w:rsid w:val="004E5B77"/>
    <w:rsid w:val="0051323F"/>
    <w:rsid w:val="005239E7"/>
    <w:rsid w:val="00531BA5"/>
    <w:rsid w:val="005B6A8F"/>
    <w:rsid w:val="00622886"/>
    <w:rsid w:val="00626C5B"/>
    <w:rsid w:val="00647A8A"/>
    <w:rsid w:val="0066398D"/>
    <w:rsid w:val="00683692"/>
    <w:rsid w:val="006A7C2C"/>
    <w:rsid w:val="006B4898"/>
    <w:rsid w:val="006C158D"/>
    <w:rsid w:val="006F14B0"/>
    <w:rsid w:val="00707F71"/>
    <w:rsid w:val="0071223C"/>
    <w:rsid w:val="0075525B"/>
    <w:rsid w:val="007651BB"/>
    <w:rsid w:val="007817DB"/>
    <w:rsid w:val="00781D26"/>
    <w:rsid w:val="00795AC3"/>
    <w:rsid w:val="007D3D6D"/>
    <w:rsid w:val="00864E19"/>
    <w:rsid w:val="00880E3D"/>
    <w:rsid w:val="00882C2E"/>
    <w:rsid w:val="00892F81"/>
    <w:rsid w:val="008A046E"/>
    <w:rsid w:val="008E094A"/>
    <w:rsid w:val="00922467"/>
    <w:rsid w:val="00922FA0"/>
    <w:rsid w:val="00951DEF"/>
    <w:rsid w:val="009539A6"/>
    <w:rsid w:val="00967F6D"/>
    <w:rsid w:val="00972F0E"/>
    <w:rsid w:val="009922CB"/>
    <w:rsid w:val="009967A0"/>
    <w:rsid w:val="009B3710"/>
    <w:rsid w:val="009B46E9"/>
    <w:rsid w:val="009E32AA"/>
    <w:rsid w:val="00A06A96"/>
    <w:rsid w:val="00A12BA3"/>
    <w:rsid w:val="00A307BC"/>
    <w:rsid w:val="00A44D72"/>
    <w:rsid w:val="00AB7CD6"/>
    <w:rsid w:val="00AE3B1C"/>
    <w:rsid w:val="00AF3AD8"/>
    <w:rsid w:val="00B114FA"/>
    <w:rsid w:val="00B169CE"/>
    <w:rsid w:val="00B41A9C"/>
    <w:rsid w:val="00B6067E"/>
    <w:rsid w:val="00B66DD8"/>
    <w:rsid w:val="00B71D87"/>
    <w:rsid w:val="00B85CD6"/>
    <w:rsid w:val="00C018B1"/>
    <w:rsid w:val="00C02705"/>
    <w:rsid w:val="00C04E17"/>
    <w:rsid w:val="00C15385"/>
    <w:rsid w:val="00C33F46"/>
    <w:rsid w:val="00C46224"/>
    <w:rsid w:val="00C5707D"/>
    <w:rsid w:val="00C61F79"/>
    <w:rsid w:val="00C72E83"/>
    <w:rsid w:val="00C9482D"/>
    <w:rsid w:val="00CA0348"/>
    <w:rsid w:val="00D007B8"/>
    <w:rsid w:val="00D06B68"/>
    <w:rsid w:val="00D1525D"/>
    <w:rsid w:val="00D73D0D"/>
    <w:rsid w:val="00D82779"/>
    <w:rsid w:val="00DC7A35"/>
    <w:rsid w:val="00DD3ACA"/>
    <w:rsid w:val="00DF562E"/>
    <w:rsid w:val="00E107A1"/>
    <w:rsid w:val="00E6137E"/>
    <w:rsid w:val="00E66654"/>
    <w:rsid w:val="00E73454"/>
    <w:rsid w:val="00EC6D6D"/>
    <w:rsid w:val="00ED6433"/>
    <w:rsid w:val="00EF31BA"/>
    <w:rsid w:val="00EF4215"/>
    <w:rsid w:val="00F03637"/>
    <w:rsid w:val="00F15B8D"/>
    <w:rsid w:val="00F24687"/>
    <w:rsid w:val="00F31D4A"/>
    <w:rsid w:val="00F53D46"/>
    <w:rsid w:val="00F94BBE"/>
    <w:rsid w:val="00FA728E"/>
    <w:rsid w:val="00FE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6D"/>
    <w:pPr>
      <w:ind w:left="720"/>
      <w:contextualSpacing/>
    </w:pPr>
  </w:style>
  <w:style w:type="paragraph" w:styleId="NormalWeb">
    <w:name w:val="Normal (Web)"/>
    <w:basedOn w:val="Normal"/>
    <w:uiPriority w:val="99"/>
    <w:unhideWhenUsed/>
    <w:rsid w:val="006F1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6A7C2C"/>
  </w:style>
  <w:style w:type="table" w:styleId="TableGrid">
    <w:name w:val="Table Grid"/>
    <w:basedOn w:val="TableNormal"/>
    <w:rsid w:val="006A7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8F"/>
  </w:style>
  <w:style w:type="paragraph" w:styleId="Footer">
    <w:name w:val="footer"/>
    <w:basedOn w:val="Normal"/>
    <w:link w:val="FooterChar"/>
    <w:uiPriority w:val="99"/>
    <w:unhideWhenUsed/>
    <w:rsid w:val="005B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8F"/>
  </w:style>
  <w:style w:type="character" w:customStyle="1" w:styleId="apple-converted-space">
    <w:name w:val="apple-converted-space"/>
    <w:basedOn w:val="DefaultParagraphFont"/>
    <w:rsid w:val="00352D29"/>
  </w:style>
  <w:style w:type="character" w:styleId="CommentReference">
    <w:name w:val="annotation reference"/>
    <w:basedOn w:val="DefaultParagraphFont"/>
    <w:uiPriority w:val="99"/>
    <w:semiHidden/>
    <w:unhideWhenUsed/>
    <w:rsid w:val="0031780D"/>
    <w:rPr>
      <w:sz w:val="16"/>
      <w:szCs w:val="16"/>
    </w:rPr>
  </w:style>
  <w:style w:type="paragraph" w:styleId="CommentText">
    <w:name w:val="annotation text"/>
    <w:basedOn w:val="Normal"/>
    <w:link w:val="CommentTextChar"/>
    <w:uiPriority w:val="99"/>
    <w:semiHidden/>
    <w:unhideWhenUsed/>
    <w:rsid w:val="0031780D"/>
    <w:pPr>
      <w:spacing w:line="240" w:lineRule="auto"/>
    </w:pPr>
    <w:rPr>
      <w:sz w:val="20"/>
      <w:szCs w:val="20"/>
    </w:rPr>
  </w:style>
  <w:style w:type="character" w:customStyle="1" w:styleId="CommentTextChar">
    <w:name w:val="Comment Text Char"/>
    <w:basedOn w:val="DefaultParagraphFont"/>
    <w:link w:val="CommentText"/>
    <w:uiPriority w:val="99"/>
    <w:semiHidden/>
    <w:rsid w:val="0031780D"/>
    <w:rPr>
      <w:sz w:val="20"/>
      <w:szCs w:val="20"/>
    </w:rPr>
  </w:style>
  <w:style w:type="paragraph" w:styleId="CommentSubject">
    <w:name w:val="annotation subject"/>
    <w:basedOn w:val="CommentText"/>
    <w:next w:val="CommentText"/>
    <w:link w:val="CommentSubjectChar"/>
    <w:uiPriority w:val="99"/>
    <w:semiHidden/>
    <w:unhideWhenUsed/>
    <w:rsid w:val="0031780D"/>
    <w:rPr>
      <w:b/>
      <w:bCs/>
    </w:rPr>
  </w:style>
  <w:style w:type="character" w:customStyle="1" w:styleId="CommentSubjectChar">
    <w:name w:val="Comment Subject Char"/>
    <w:basedOn w:val="CommentTextChar"/>
    <w:link w:val="CommentSubject"/>
    <w:uiPriority w:val="99"/>
    <w:semiHidden/>
    <w:rsid w:val="0031780D"/>
    <w:rPr>
      <w:b/>
      <w:bCs/>
      <w:sz w:val="20"/>
      <w:szCs w:val="20"/>
    </w:rPr>
  </w:style>
  <w:style w:type="paragraph" w:styleId="BalloonText">
    <w:name w:val="Balloon Text"/>
    <w:basedOn w:val="Normal"/>
    <w:link w:val="BalloonTextChar"/>
    <w:uiPriority w:val="99"/>
    <w:semiHidden/>
    <w:unhideWhenUsed/>
    <w:rsid w:val="0031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0D"/>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F6D"/>
    <w:pPr>
      <w:ind w:left="720"/>
      <w:contextualSpacing/>
    </w:pPr>
  </w:style>
  <w:style w:type="paragraph" w:styleId="NormalWeb">
    <w:name w:val="Normal (Web)"/>
    <w:basedOn w:val="Normal"/>
    <w:uiPriority w:val="99"/>
    <w:unhideWhenUsed/>
    <w:rsid w:val="006F14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rsid w:val="006A7C2C"/>
  </w:style>
  <w:style w:type="table" w:styleId="TableGrid">
    <w:name w:val="Table Grid"/>
    <w:basedOn w:val="TableNormal"/>
    <w:rsid w:val="006A7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B6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A8F"/>
  </w:style>
  <w:style w:type="paragraph" w:styleId="Footer">
    <w:name w:val="footer"/>
    <w:basedOn w:val="Normal"/>
    <w:link w:val="FooterChar"/>
    <w:uiPriority w:val="99"/>
    <w:unhideWhenUsed/>
    <w:rsid w:val="005B6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A8F"/>
  </w:style>
  <w:style w:type="character" w:customStyle="1" w:styleId="apple-converted-space">
    <w:name w:val="apple-converted-space"/>
    <w:basedOn w:val="DefaultParagraphFont"/>
    <w:rsid w:val="00352D29"/>
  </w:style>
  <w:style w:type="character" w:styleId="CommentReference">
    <w:name w:val="annotation reference"/>
    <w:basedOn w:val="DefaultParagraphFont"/>
    <w:uiPriority w:val="99"/>
    <w:semiHidden/>
    <w:unhideWhenUsed/>
    <w:rsid w:val="0031780D"/>
    <w:rPr>
      <w:sz w:val="16"/>
      <w:szCs w:val="16"/>
    </w:rPr>
  </w:style>
  <w:style w:type="paragraph" w:styleId="CommentText">
    <w:name w:val="annotation text"/>
    <w:basedOn w:val="Normal"/>
    <w:link w:val="CommentTextChar"/>
    <w:uiPriority w:val="99"/>
    <w:semiHidden/>
    <w:unhideWhenUsed/>
    <w:rsid w:val="0031780D"/>
    <w:pPr>
      <w:spacing w:line="240" w:lineRule="auto"/>
    </w:pPr>
    <w:rPr>
      <w:sz w:val="20"/>
      <w:szCs w:val="20"/>
    </w:rPr>
  </w:style>
  <w:style w:type="character" w:customStyle="1" w:styleId="CommentTextChar">
    <w:name w:val="Comment Text Char"/>
    <w:basedOn w:val="DefaultParagraphFont"/>
    <w:link w:val="CommentText"/>
    <w:uiPriority w:val="99"/>
    <w:semiHidden/>
    <w:rsid w:val="0031780D"/>
    <w:rPr>
      <w:sz w:val="20"/>
      <w:szCs w:val="20"/>
    </w:rPr>
  </w:style>
  <w:style w:type="paragraph" w:styleId="CommentSubject">
    <w:name w:val="annotation subject"/>
    <w:basedOn w:val="CommentText"/>
    <w:next w:val="CommentText"/>
    <w:link w:val="CommentSubjectChar"/>
    <w:uiPriority w:val="99"/>
    <w:semiHidden/>
    <w:unhideWhenUsed/>
    <w:rsid w:val="0031780D"/>
    <w:rPr>
      <w:b/>
      <w:bCs/>
    </w:rPr>
  </w:style>
  <w:style w:type="character" w:customStyle="1" w:styleId="CommentSubjectChar">
    <w:name w:val="Comment Subject Char"/>
    <w:basedOn w:val="CommentTextChar"/>
    <w:link w:val="CommentSubject"/>
    <w:uiPriority w:val="99"/>
    <w:semiHidden/>
    <w:rsid w:val="0031780D"/>
    <w:rPr>
      <w:b/>
      <w:bCs/>
      <w:sz w:val="20"/>
      <w:szCs w:val="20"/>
    </w:rPr>
  </w:style>
  <w:style w:type="paragraph" w:styleId="BalloonText">
    <w:name w:val="Balloon Text"/>
    <w:basedOn w:val="Normal"/>
    <w:link w:val="BalloonTextChar"/>
    <w:uiPriority w:val="99"/>
    <w:semiHidden/>
    <w:unhideWhenUsed/>
    <w:rsid w:val="0031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0D585-0ED3-4544-8492-1867D947C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2215</Words>
  <Characters>12629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GREATER FAVOR</dc:creator>
  <cp:lastModifiedBy>Krystal Lokkesmoe</cp:lastModifiedBy>
  <cp:revision>2</cp:revision>
  <dcterms:created xsi:type="dcterms:W3CDTF">2016-03-16T16:20:00Z</dcterms:created>
  <dcterms:modified xsi:type="dcterms:W3CDTF">2016-03-16T16:20:00Z</dcterms:modified>
</cp:coreProperties>
</file>