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XSpec="center" w:tblpY="2551"/>
        <w:tblW w:w="57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632"/>
        <w:gridCol w:w="1539"/>
        <w:gridCol w:w="2609"/>
      </w:tblGrid>
      <w:tr w:rsidR="00B33C6E" w:rsidRPr="00B33C6E" w14:paraId="34F13104" w14:textId="77777777" w:rsidTr="00B33C6E">
        <w:trPr>
          <w:trHeight w:val="559"/>
        </w:trPr>
        <w:tc>
          <w:tcPr>
            <w:tcW w:w="5000" w:type="pct"/>
            <w:gridSpan w:val="4"/>
            <w:shd w:val="clear" w:color="auto" w:fill="auto"/>
          </w:tcPr>
          <w:p w14:paraId="34F13102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B33C6E">
              <w:rPr>
                <w:rFonts w:ascii="Calibri" w:hAnsi="Calibri" w:cs="Times New Roman"/>
                <w:b/>
                <w:sz w:val="40"/>
                <w:szCs w:val="40"/>
              </w:rPr>
              <w:t>Opioid Misuse &amp; Poisonings in the Central Service Area</w:t>
            </w:r>
          </w:p>
          <w:p w14:paraId="34F13103" w14:textId="77777777" w:rsidR="00B33C6E" w:rsidRPr="00B33C6E" w:rsidRDefault="00B33C6E" w:rsidP="00B33C6E">
            <w:pPr>
              <w:spacing w:after="0"/>
              <w:ind w:left="72"/>
              <w:rPr>
                <w:rFonts w:ascii="Calibri" w:hAnsi="Calibri" w:cs="Times New Roman"/>
                <w:color w:val="660033"/>
              </w:rPr>
            </w:pPr>
          </w:p>
        </w:tc>
      </w:tr>
      <w:tr w:rsidR="00B33C6E" w:rsidRPr="00B33C6E" w14:paraId="34F1310B" w14:textId="77777777" w:rsidTr="00B33C6E">
        <w:trPr>
          <w:trHeight w:val="371"/>
        </w:trPr>
        <w:tc>
          <w:tcPr>
            <w:tcW w:w="3812" w:type="pct"/>
            <w:gridSpan w:val="3"/>
          </w:tcPr>
          <w:p w14:paraId="34F13105" w14:textId="77777777" w:rsidR="00B33C6E" w:rsidRPr="00B33C6E" w:rsidRDefault="00B33C6E" w:rsidP="00B33C6E">
            <w:pPr>
              <w:spacing w:after="0"/>
              <w:ind w:left="72"/>
              <w:rPr>
                <w:rFonts w:ascii="Calibri" w:hAnsi="Calibri" w:cs="Times New Roman"/>
                <w:color w:val="000000"/>
                <w:sz w:val="20"/>
                <w:szCs w:val="20"/>
                <w:lang w:val="en"/>
              </w:rPr>
            </w:pPr>
            <w:r w:rsidRPr="00B33C6E">
              <w:rPr>
                <w:rFonts w:ascii="Calibri" w:hAnsi="Calibri" w:cs="Times New Roman"/>
                <w:color w:val="000000"/>
                <w:sz w:val="20"/>
                <w:szCs w:val="20"/>
                <w:lang w:val="en"/>
              </w:rPr>
              <w:t>Opioid analgesics are drugs that are usually prescribed to relieve pain and include: methadone, which is used to treat opioid dependency as well as pain; other opioids, such as oxycodone and hydrocodone; and synthetic narcotics such as fentanyl and propoxyphene. Opium, heroin, and cocaine are not included in this class.</w:t>
            </w:r>
          </w:p>
          <w:p w14:paraId="34F13106" w14:textId="77777777" w:rsidR="00B33C6E" w:rsidRPr="00B33C6E" w:rsidRDefault="00B33C6E" w:rsidP="00B33C6E">
            <w:pPr>
              <w:spacing w:after="0"/>
              <w:ind w:left="72"/>
              <w:rPr>
                <w:rFonts w:ascii="Calibri" w:hAnsi="Calibri" w:cs="Times New Roman"/>
                <w:color w:val="000000"/>
                <w:lang w:val="en"/>
              </w:rPr>
            </w:pPr>
          </w:p>
        </w:tc>
        <w:tc>
          <w:tcPr>
            <w:tcW w:w="1188" w:type="pct"/>
            <w:vMerge w:val="restart"/>
            <w:shd w:val="clear" w:color="auto" w:fill="556292"/>
          </w:tcPr>
          <w:p w14:paraId="34F13107" w14:textId="77777777" w:rsidR="00B33C6E" w:rsidRPr="00B33C6E" w:rsidRDefault="00B33C6E" w:rsidP="00B33C6E">
            <w:pPr>
              <w:spacing w:after="0"/>
              <w:ind w:left="264" w:right="327"/>
              <w:rPr>
                <w:rFonts w:ascii="Calibri" w:hAnsi="Calibri" w:cs="Times New Roman"/>
                <w:color w:val="FFFFFF"/>
              </w:rPr>
            </w:pPr>
          </w:p>
          <w:p w14:paraId="34F13108" w14:textId="77777777" w:rsidR="00B33C6E" w:rsidRPr="00B33C6E" w:rsidRDefault="00B33C6E" w:rsidP="00B33C6E">
            <w:pPr>
              <w:spacing w:after="0"/>
              <w:ind w:left="161" w:right="252"/>
              <w:rPr>
                <w:rFonts w:ascii="Calibri" w:hAnsi="Calibri" w:cs="Times New Roman"/>
                <w:color w:val="FFFFFF"/>
                <w:sz w:val="20"/>
                <w:szCs w:val="20"/>
              </w:rPr>
            </w:pPr>
            <w:r w:rsidRPr="00B33C6E">
              <w:rPr>
                <w:rFonts w:ascii="Calibri" w:hAnsi="Calibri" w:cs="Times New Roman"/>
                <w:color w:val="FFFFFF"/>
                <w:sz w:val="20"/>
                <w:szCs w:val="20"/>
              </w:rPr>
              <w:t>In 2009, 15,597 people died nationally from overdoses involving prescription pain relievers such as oxycodone, hydrocodone, and methadone—a 109% increase since 2002. However, national estimates of past-year non-medical use of prescription pain relievers remained relatively stable since 2002.</w:t>
            </w:r>
          </w:p>
          <w:p w14:paraId="34F13109" w14:textId="77777777" w:rsidR="00B33C6E" w:rsidRPr="00B33C6E" w:rsidRDefault="00B33C6E" w:rsidP="00B33C6E">
            <w:pPr>
              <w:spacing w:after="0"/>
              <w:ind w:left="161" w:right="252"/>
              <w:rPr>
                <w:rFonts w:ascii="Calibri" w:hAnsi="Calibri" w:cs="Times New Roman"/>
                <w:color w:val="FFFFFF"/>
                <w:sz w:val="20"/>
                <w:szCs w:val="20"/>
              </w:rPr>
            </w:pPr>
          </w:p>
          <w:p w14:paraId="34F1310A" w14:textId="77777777" w:rsidR="00B33C6E" w:rsidRPr="00B33C6E" w:rsidRDefault="00B33C6E" w:rsidP="00B33C6E">
            <w:pPr>
              <w:spacing w:after="0"/>
              <w:ind w:left="161" w:right="252"/>
              <w:rPr>
                <w:rFonts w:ascii="Calibri" w:hAnsi="Calibri" w:cs="Times New Roman"/>
                <w:color w:val="FFFFFF"/>
                <w:vertAlign w:val="superscript"/>
              </w:rPr>
            </w:pPr>
            <w:r w:rsidRPr="00B33C6E">
              <w:rPr>
                <w:rFonts w:ascii="Calibri" w:hAnsi="Calibri" w:cs="Times New Roman"/>
                <w:color w:val="FFFFFF"/>
                <w:sz w:val="20"/>
                <w:szCs w:val="20"/>
              </w:rPr>
              <w:t>A recent study found a significant increase in past-year non-medical use of pain relievers of 200 to 365 days between 2002-2003 and 2009-2010.  Significant increases in rates of 200 to 365 days of use were since during that period for males and for persons age 18 to 49 years.</w:t>
            </w:r>
            <w:r w:rsidRPr="00B33C6E">
              <w:rPr>
                <w:rFonts w:ascii="Calibri" w:hAnsi="Calibri" w:cs="Times New Roman"/>
                <w:color w:val="FFFFFF"/>
                <w:sz w:val="20"/>
                <w:szCs w:val="20"/>
                <w:vertAlign w:val="superscript"/>
              </w:rPr>
              <w:t>3</w:t>
            </w:r>
          </w:p>
        </w:tc>
      </w:tr>
      <w:tr w:rsidR="00B33C6E" w:rsidRPr="00B33C6E" w14:paraId="34F1311F" w14:textId="77777777" w:rsidTr="00B33C6E">
        <w:trPr>
          <w:trHeight w:val="1134"/>
        </w:trPr>
        <w:tc>
          <w:tcPr>
            <w:tcW w:w="2823" w:type="pct"/>
            <w:vMerge w:val="restart"/>
          </w:tcPr>
          <w:p w14:paraId="34F1310C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0D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  <w:r w:rsidRPr="00B33C6E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34F13133" wp14:editId="34F13134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128270</wp:posOffset>
                  </wp:positionV>
                  <wp:extent cx="3371850" cy="2166620"/>
                  <wp:effectExtent l="0" t="0" r="0" b="508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e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216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F1310E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0F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0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1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2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3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4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5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6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7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8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9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A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1B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989" w:type="pct"/>
            <w:gridSpan w:val="2"/>
          </w:tcPr>
          <w:p w14:paraId="34F1311C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</w:pPr>
            <w:r w:rsidRPr="00B33C6E">
              <w:rPr>
                <w:rFonts w:ascii="Calibri" w:hAnsi="Calibri" w:cs="Calibri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 xml:space="preserve">← </w:t>
            </w:r>
            <w:r w:rsidRPr="00B33C6E">
              <w:rPr>
                <w:rFonts w:ascii="Calibri" w:hAnsi="Calibri" w:cs="Times New Roman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Percentage of Past Year Non-Medical Pain Reliever Use among Adults Age 18+, 2008-2009 NSDUHs</w:t>
            </w:r>
            <w:r w:rsidRPr="00B33C6E">
              <w:rPr>
                <w:rFonts w:ascii="Calibri" w:hAnsi="Calibri" w:cs="Times New Roman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1</w:t>
            </w:r>
          </w:p>
          <w:p w14:paraId="34F1311D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188" w:type="pct"/>
            <w:vMerge/>
            <w:shd w:val="clear" w:color="auto" w:fill="556292"/>
          </w:tcPr>
          <w:p w14:paraId="34F1311E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B33C6E" w:rsidRPr="00B33C6E" w14:paraId="34F1312C" w14:textId="77777777" w:rsidTr="00B33C6E">
        <w:trPr>
          <w:trHeight w:val="1545"/>
        </w:trPr>
        <w:tc>
          <w:tcPr>
            <w:tcW w:w="2823" w:type="pct"/>
            <w:vMerge/>
          </w:tcPr>
          <w:p w14:paraId="34F13120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</w:tc>
        <w:tc>
          <w:tcPr>
            <w:tcW w:w="288" w:type="pct"/>
          </w:tcPr>
          <w:p w14:paraId="34F13121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  <w:r w:rsidRPr="00B33C6E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13135" wp14:editId="34F1313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33655</wp:posOffset>
                      </wp:positionV>
                      <wp:extent cx="161925" cy="154940"/>
                      <wp:effectExtent l="0" t="0" r="9525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.15pt;margin-top:2.65pt;width:12.75pt;height:1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" fillcolor="#7f7f7f" stroked="f" strokeweight="2pt"/>
                  </w:pict>
                </mc:Fallback>
              </mc:AlternateContent>
            </w:r>
            <w:r w:rsidRPr="00B33C6E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F13137" wp14:editId="34F1313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1315720</wp:posOffset>
                      </wp:positionV>
                      <wp:extent cx="161925" cy="155574"/>
                      <wp:effectExtent l="0" t="0" r="9525" b="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5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75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" o:spid="_x0000_s1026" style="position:absolute;margin-left:2.15pt;margin-top:103.6pt;width:12.75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" fillcolor="#953735" stroked="f" strokeweight="2pt"/>
                  </w:pict>
                </mc:Fallback>
              </mc:AlternateContent>
            </w:r>
            <w:r w:rsidRPr="00B33C6E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F13139" wp14:editId="34F1313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999368</wp:posOffset>
                      </wp:positionV>
                      <wp:extent cx="161925" cy="155574"/>
                      <wp:effectExtent l="0" t="0" r="9525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5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6F1A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.15pt;margin-top:78.7pt;width:12.75pt;height:1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" fillcolor="#d06f1a" stroked="f" strokeweight="2pt"/>
                  </w:pict>
                </mc:Fallback>
              </mc:AlternateContent>
            </w:r>
            <w:r w:rsidRPr="00B33C6E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F1313B" wp14:editId="34F1313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655473</wp:posOffset>
                      </wp:positionV>
                      <wp:extent cx="161925" cy="155574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5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6F5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.15pt;margin-top:51.6pt;width:12.75pt;height:1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" fillcolor="#616f56" stroked="f" strokeweight="2pt"/>
                  </w:pict>
                </mc:Fallback>
              </mc:AlternateContent>
            </w:r>
            <w:r w:rsidRPr="00B33C6E">
              <w:rPr>
                <w:rFonts w:ascii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F1313D" wp14:editId="34F1313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348753</wp:posOffset>
                      </wp:positionV>
                      <wp:extent cx="161925" cy="155574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5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56292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2.15pt;margin-top:27.45pt;width:12.7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" fillcolor="#556292" stroked="f" strokeweight="2pt"/>
                  </w:pict>
                </mc:Fallback>
              </mc:AlternateContent>
            </w:r>
          </w:p>
        </w:tc>
        <w:tc>
          <w:tcPr>
            <w:tcW w:w="701" w:type="pct"/>
          </w:tcPr>
          <w:p w14:paraId="34F13122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  <w:r w:rsidRPr="00B33C6E">
              <w:rPr>
                <w:rFonts w:ascii="Calibri" w:hAnsi="Calibri" w:cs="Calibri"/>
              </w:rPr>
              <w:t>≤</w:t>
            </w:r>
            <w:r w:rsidRPr="00B33C6E">
              <w:rPr>
                <w:rFonts w:ascii="Calibri" w:hAnsi="Calibri" w:cs="Times New Roman"/>
              </w:rPr>
              <w:t>4.0%</w:t>
            </w:r>
          </w:p>
          <w:p w14:paraId="34F13123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24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  <w:r w:rsidRPr="00B33C6E">
              <w:rPr>
                <w:rFonts w:ascii="Calibri" w:hAnsi="Calibri" w:cs="Times New Roman"/>
              </w:rPr>
              <w:t>4.1% - 4.5%</w:t>
            </w:r>
          </w:p>
          <w:p w14:paraId="34F13125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26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  <w:r w:rsidRPr="00B33C6E">
              <w:rPr>
                <w:rFonts w:ascii="Calibri" w:hAnsi="Calibri" w:cs="Times New Roman"/>
              </w:rPr>
              <w:t>4.6% - 5.0%</w:t>
            </w:r>
          </w:p>
          <w:p w14:paraId="34F13127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28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  <w:r w:rsidRPr="00B33C6E">
              <w:rPr>
                <w:rFonts w:ascii="Calibri" w:hAnsi="Calibri" w:cs="Times New Roman"/>
              </w:rPr>
              <w:t>5.1% - 5.5%</w:t>
            </w:r>
          </w:p>
          <w:p w14:paraId="34F13129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  <w:p w14:paraId="34F1312A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  <w:r w:rsidRPr="00B33C6E">
              <w:rPr>
                <w:rFonts w:ascii="Calibri" w:hAnsi="Calibri" w:cs="Times New Roman"/>
              </w:rPr>
              <w:t>5.6%+</w:t>
            </w:r>
          </w:p>
        </w:tc>
        <w:tc>
          <w:tcPr>
            <w:tcW w:w="1188" w:type="pct"/>
            <w:vMerge/>
            <w:shd w:val="clear" w:color="auto" w:fill="556292"/>
          </w:tcPr>
          <w:p w14:paraId="34F1312B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B33C6E" w:rsidRPr="00B33C6E" w14:paraId="34F13131" w14:textId="77777777" w:rsidTr="00B33C6E">
        <w:trPr>
          <w:trHeight w:val="3042"/>
        </w:trPr>
        <w:tc>
          <w:tcPr>
            <w:tcW w:w="3812" w:type="pct"/>
            <w:gridSpan w:val="3"/>
          </w:tcPr>
          <w:p w14:paraId="34F1312D" w14:textId="77777777" w:rsidR="00B33C6E" w:rsidRPr="00B33C6E" w:rsidRDefault="00B33C6E" w:rsidP="00B33C6E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</w:pPr>
            <w:r w:rsidRPr="00B33C6E">
              <w:rPr>
                <w:rFonts w:ascii="Calibri" w:hAnsi="Calibri" w:cs="Times New Roman"/>
                <w:color w:val="000000"/>
                <w:sz w:val="20"/>
                <w:szCs w:val="20"/>
                <w:lang w:val="en"/>
              </w:rPr>
              <w:t xml:space="preserve">From 1999 to 2006, the number of fatal poisonings within the United States involving opioid analgesics more than tripled, increasing from 4,000 to 13,800 deaths. </w: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  <w:t>In 2006,  the rate of  poisoning deaths involving opioid analgesics was higher for males, persons aged 35-54 years, and non-Hispanic white persons than for females and those in other age and racial/ethnic groups.  In about half of the deaths involving opioid analgesics, more than one type of drug was specified as contributing to the death, with benzodiazepines contributing most frequently.</w: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"/>
              </w:rPr>
              <w:t>2</w:t>
            </w:r>
          </w:p>
          <w:p w14:paraId="34F1312E" w14:textId="77777777" w:rsidR="00B33C6E" w:rsidRPr="00B33C6E" w:rsidRDefault="00B33C6E" w:rsidP="00B33C6E">
            <w:pPr>
              <w:spacing w:after="0"/>
              <w:ind w:left="72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</w:pPr>
          </w:p>
          <w:p w14:paraId="34F1312F" w14:textId="77777777" w:rsidR="00B33C6E" w:rsidRPr="00B33C6E" w:rsidRDefault="00B33C6E" w:rsidP="00B33C6E">
            <w:pPr>
              <w:spacing w:after="0"/>
              <w:ind w:left="72"/>
              <w:rPr>
                <w:rFonts w:ascii="Calibri" w:hAnsi="Calibri" w:cs="Times New Roman"/>
                <w:vertAlign w:val="superscript"/>
              </w:rPr>
            </w:pPr>
            <w:r w:rsidRPr="00B33C6E">
              <w:rPr>
                <w:rFonts w:ascii="Calibri" w:hAnsi="Calibri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1313F" wp14:editId="34F13140">
                      <wp:simplePos x="0" y="0"/>
                      <wp:positionH relativeFrom="column">
                        <wp:posOffset>-49989</wp:posOffset>
                      </wp:positionH>
                      <wp:positionV relativeFrom="paragraph">
                        <wp:posOffset>687988</wp:posOffset>
                      </wp:positionV>
                      <wp:extent cx="7058025" cy="2137272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8025" cy="21372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13151" w14:textId="77777777" w:rsidR="00B33C6E" w:rsidRDefault="00B33C6E" w:rsidP="00B33C6E">
                                  <w:pPr>
                                    <w:spacing w:after="0"/>
                                    <w:rPr>
                                      <w:b/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F13152" w14:textId="77777777" w:rsidR="00B33C6E" w:rsidRPr="00544768" w:rsidRDefault="00B33C6E" w:rsidP="00B33C6E">
                                  <w:pPr>
                                    <w:spacing w:after="0"/>
                                    <w:rPr>
                                      <w:b/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544768">
                                    <w:rPr>
                                      <w:b/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References</w:t>
                                  </w:r>
                                </w:p>
                                <w:p w14:paraId="34F13153" w14:textId="77777777" w:rsidR="00B33C6E" w:rsidRPr="00544768" w:rsidRDefault="00B33C6E" w:rsidP="00B33C6E">
                                  <w:pPr>
                                    <w:pStyle w:val="ListParagraph1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544768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 xml:space="preserve">Selected Drug Use, Perceptions of Great Risk, Average Annual Marijuana Initiates, Past Year Substance Dependence or Abuse, Needing But Not Receiving Treatment, and Past Year Mental Health Measures in the </w:t>
                                  </w:r>
                                  <w:r w:rsidRPr="00544768">
                                    <w:rPr>
                                      <w:rStyle w:val="Emphasis"/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>United States</w:t>
                                  </w:r>
                                  <w:r w:rsidRPr="00544768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 xml:space="preserve">, by Age Group: Estimated Numbers (in Thousands), Annual Averages Based on 2008-2009 NSDUHs. Retrieved on July 11, 2012 from: </w:t>
                                  </w:r>
                                  <w:hyperlink r:id="rId12" w:history="1">
                                    <w:r w:rsidRPr="00544768">
                                      <w:rPr>
                                        <w:rStyle w:val="Hyperlink1"/>
                                        <w:color w:val="943634" w:themeColor="accent2" w:themeShade="BF"/>
                                        <w:sz w:val="20"/>
                                        <w:szCs w:val="20"/>
                                      </w:rPr>
                                      <w:t>http://www.oas.samhsa.gov/2k9State/WebOnlyTables/stateTabs.htm</w:t>
                                    </w:r>
                                  </w:hyperlink>
                                  <w:r w:rsidRPr="00544768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4F13154" w14:textId="77777777" w:rsidR="00B33C6E" w:rsidRPr="00544768" w:rsidRDefault="00B33C6E" w:rsidP="00B33C6E">
                                  <w:pPr>
                                    <w:pStyle w:val="ListParagraph1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544768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  <w:lang w:val="en"/>
                                    </w:rPr>
                                    <w:t>Warner M, Chen LH, Makuc DM. Increase in fatal poisonings involving opioid analgesics in the United States, 1999-2006. NCHS data brief, no 22. Hyattsville, MD: National Center for Health Statistics. 2009</w:t>
                                  </w:r>
                                  <w:r w:rsidRPr="00544768">
                                    <w:rPr>
                                      <w:i/>
                                      <w:color w:val="943634" w:themeColor="accent2" w:themeShade="BF"/>
                                      <w:sz w:val="20"/>
                                      <w:szCs w:val="20"/>
                                      <w:lang w:val="en"/>
                                    </w:rPr>
                                    <w:t>.</w:t>
                                  </w:r>
                                  <w:r w:rsidRPr="00544768"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  <w:lang w:val="en"/>
                                    </w:rPr>
                                    <w:t xml:space="preserve"> Retrieved on July 11, 2012 from </w:t>
                                  </w:r>
                                  <w:hyperlink r:id="rId13" w:history="1">
                                    <w:r w:rsidRPr="00544768">
                                      <w:rPr>
                                        <w:rStyle w:val="Hyperlink1"/>
                                        <w:color w:val="943634" w:themeColor="accent2" w:themeShade="BF"/>
                                        <w:sz w:val="20"/>
                                        <w:szCs w:val="20"/>
                                        <w:lang w:val="en"/>
                                      </w:rPr>
                                      <w:t>http://www.cdc.gov/nchs/data/databriefs/db22.pdf</w:t>
                                    </w:r>
                                  </w:hyperlink>
                                </w:p>
                                <w:p w14:paraId="34F13155" w14:textId="77777777" w:rsidR="00B33C6E" w:rsidRPr="00544768" w:rsidRDefault="00B33C6E" w:rsidP="00B33C6E">
                                  <w:pPr>
                                    <w:pStyle w:val="ListParagraph1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</w:pPr>
                                  <w:r w:rsidRPr="00544768">
                                    <w:rPr>
                                      <w:rFonts w:cstheme="minorHAnsi"/>
                                      <w:color w:val="943634" w:themeColor="accent2" w:themeShade="BF"/>
                                      <w:sz w:val="20"/>
                                      <w:szCs w:val="20"/>
                                    </w:rPr>
                                    <w:t xml:space="preserve">Division of Unintentional Injury Prevention, National Center for Injury Prevention and Control, Centers for Disease Control and Prevention. Frequency of prescription pain reliever nonmedical use: 2002-2003 and 2009-2010. Arch Intern Med Research Letter, published online June 25, 2012. </w:t>
                                  </w:r>
                                </w:p>
                                <w:p w14:paraId="34F13156" w14:textId="77777777" w:rsidR="00B33C6E" w:rsidRPr="00544768" w:rsidRDefault="00B33C6E" w:rsidP="00B33C6E">
                                  <w:pPr>
                                    <w:rPr>
                                      <w:color w:val="943634" w:themeColor="accent2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95pt;margin-top:54.15pt;width:555.75pt;height:1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" stroked="f">
                      <v:textbox>
                        <w:txbxContent>
                          <w:p w:rsidR="00B33C6E" w:rsidRDefault="00B33C6E" w:rsidP="00B33C6E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:rsidR="00B33C6E" w:rsidRPr="00544768" w:rsidRDefault="00B33C6E" w:rsidP="00B33C6E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44768">
                              <w:rPr>
                                <w:b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References</w:t>
                            </w:r>
                          </w:p>
                          <w:p w:rsidR="00B33C6E" w:rsidRPr="00544768" w:rsidRDefault="00B33C6E" w:rsidP="00B33C6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44768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Selected Drug Use, Perceptions of Great Risk, Average Annual Marijuana Initiates, Past Year Substance Dependence or Abuse, Needing But Not Receiving Treatment, and Past Year Mental Health Measures in the </w:t>
                            </w:r>
                            <w:r w:rsidRPr="00544768">
                              <w:rPr>
                                <w:rStyle w:val="Emphasis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>United States</w:t>
                            </w:r>
                            <w:r w:rsidRPr="00544768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, by Age Group: Estimated Numbers (in Thousands), Annual Averages Based on 2008-2009 NSDUHs. Retrieved on July 11, 2012 from: </w:t>
                            </w:r>
                            <w:hyperlink r:id="rId14" w:history="1">
                              <w:r w:rsidRPr="00544768">
                                <w:rPr>
                                  <w:rStyle w:val="Hyperlink1"/>
                                  <w:color w:val="943634" w:themeColor="accent2" w:themeShade="BF"/>
                                  <w:sz w:val="20"/>
                                  <w:szCs w:val="20"/>
                                </w:rPr>
                                <w:t>http://www.oas.samhsa.gov/2k9State/WebOnlyTables/stateTabs.htm</w:t>
                              </w:r>
                            </w:hyperlink>
                            <w:r w:rsidRPr="00544768"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33C6E" w:rsidRPr="00544768" w:rsidRDefault="00B33C6E" w:rsidP="00B33C6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44768">
                              <w:rPr>
                                <w:color w:val="943634" w:themeColor="accent2" w:themeShade="BF"/>
                                <w:sz w:val="20"/>
                                <w:szCs w:val="20"/>
                                <w:lang w:val="en"/>
                              </w:rPr>
                              <w:t xml:space="preserve">Warner M, Chen LH, </w:t>
                            </w:r>
                            <w:proofErr w:type="spellStart"/>
                            <w:r w:rsidRPr="00544768">
                              <w:rPr>
                                <w:color w:val="943634" w:themeColor="accent2" w:themeShade="BF"/>
                                <w:sz w:val="20"/>
                                <w:szCs w:val="20"/>
                                <w:lang w:val="en"/>
                              </w:rPr>
                              <w:t>Makuc</w:t>
                            </w:r>
                            <w:proofErr w:type="spellEnd"/>
                            <w:r w:rsidRPr="00544768">
                              <w:rPr>
                                <w:color w:val="943634" w:themeColor="accent2" w:themeShade="BF"/>
                                <w:sz w:val="20"/>
                                <w:szCs w:val="20"/>
                                <w:lang w:val="en"/>
                              </w:rPr>
                              <w:t xml:space="preserve"> DM. Increase in fatal poisonings involving opioid analgesics in the United States, 1999-2006. NCHS data brief, no 22. Hyattsville, MD: National Center for Health Statistics. 2009</w:t>
                            </w:r>
                            <w:r w:rsidRPr="00544768">
                              <w:rPr>
                                <w:i/>
                                <w:color w:val="943634" w:themeColor="accent2" w:themeShade="BF"/>
                                <w:sz w:val="20"/>
                                <w:szCs w:val="20"/>
                                <w:lang w:val="en"/>
                              </w:rPr>
                              <w:t>.</w:t>
                            </w:r>
                            <w:r w:rsidRPr="00544768">
                              <w:rPr>
                                <w:color w:val="943634" w:themeColor="accent2" w:themeShade="BF"/>
                                <w:sz w:val="20"/>
                                <w:szCs w:val="20"/>
                                <w:lang w:val="en"/>
                              </w:rPr>
                              <w:t xml:space="preserve"> Retrieved on July 11, 2012 from </w:t>
                            </w:r>
                            <w:hyperlink r:id="rId15" w:history="1">
                              <w:r w:rsidRPr="00544768">
                                <w:rPr>
                                  <w:rStyle w:val="Hyperlink1"/>
                                  <w:color w:val="943634" w:themeColor="accent2" w:themeShade="BF"/>
                                  <w:sz w:val="20"/>
                                  <w:szCs w:val="20"/>
                                  <w:lang w:val="en"/>
                                </w:rPr>
                                <w:t>http://www.cdc.gov/nchs/data/databriefs/db22.pdf</w:t>
                              </w:r>
                            </w:hyperlink>
                          </w:p>
                          <w:p w:rsidR="00B33C6E" w:rsidRPr="00544768" w:rsidRDefault="00B33C6E" w:rsidP="00B33C6E">
                            <w:pPr>
                              <w:pStyle w:val="ListParagraph1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943634" w:themeColor="accent2" w:themeShade="BF"/>
                                <w:sz w:val="20"/>
                                <w:szCs w:val="20"/>
                              </w:rPr>
                            </w:pPr>
                            <w:r w:rsidRPr="00544768">
                              <w:rPr>
                                <w:rFonts w:cstheme="minorHAnsi"/>
                                <w:color w:val="943634" w:themeColor="accent2" w:themeShade="BF"/>
                                <w:sz w:val="20"/>
                                <w:szCs w:val="20"/>
                              </w:rPr>
                              <w:t xml:space="preserve">Division of Unintentional Injury Prevention, National Center for Injury Prevention and Control, Centers for Disease Control and Prevention. Frequency of prescription pain reliever nonmedical use: 2002-2003 and 2009-2010. Arch Intern Med Research Letter, published online June 25, 2012. </w:t>
                            </w:r>
                          </w:p>
                          <w:p w:rsidR="00B33C6E" w:rsidRPr="00544768" w:rsidRDefault="00B33C6E" w:rsidP="00B33C6E">
                            <w:pPr>
                              <w:rPr>
                                <w:color w:val="943634" w:themeColor="accent2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  <w:t xml:space="preserve">One Central state, </w:t>
            </w:r>
            <w:r w:rsidRPr="00B33C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"/>
              </w:rPr>
              <w:t>West Virginia</w: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  <w:t xml:space="preserve">, had an age-adjusted death rate for poisonings involving opioid analgesics that was </w:t>
            </w:r>
            <w:r w:rsidRPr="00B33C6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"/>
              </w:rPr>
              <w:t>significantly higher</w: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  <w:t xml:space="preserve"> than the U.S. rate in 2006.   Three Central states had age-adjusted death rates opioid poisonings that were </w:t>
            </w:r>
            <w:r w:rsidRPr="00B33C6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"/>
              </w:rPr>
              <w:t>significantly lower</w: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  <w:t xml:space="preserve"> than the U.S. in 2006: </w:t>
            </w:r>
            <w:r w:rsidRPr="00B33C6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"/>
              </w:rPr>
              <w:t>Iowa, Indiana, and Minnesota</w: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"/>
              </w:rPr>
              <w:t>.</w:t>
            </w:r>
            <w:r w:rsidRPr="00B33C6E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"/>
              </w:rPr>
              <w:t>2</w:t>
            </w:r>
          </w:p>
        </w:tc>
        <w:tc>
          <w:tcPr>
            <w:tcW w:w="1188" w:type="pct"/>
            <w:vMerge/>
            <w:shd w:val="clear" w:color="auto" w:fill="556292"/>
          </w:tcPr>
          <w:p w14:paraId="34F13130" w14:textId="77777777" w:rsidR="00B33C6E" w:rsidRPr="00B33C6E" w:rsidRDefault="00B33C6E" w:rsidP="00B33C6E">
            <w:pPr>
              <w:spacing w:after="0"/>
              <w:rPr>
                <w:rFonts w:ascii="Calibri" w:hAnsi="Calibri" w:cs="Times New Roman"/>
              </w:rPr>
            </w:pPr>
          </w:p>
        </w:tc>
      </w:tr>
    </w:tbl>
    <w:p w14:paraId="34F13132" w14:textId="77777777" w:rsidR="00683244" w:rsidRPr="00683244" w:rsidRDefault="00683244" w:rsidP="00683244"/>
    <w:sectPr w:rsidR="00683244" w:rsidRPr="00683244" w:rsidSect="00B12B21"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13143" w14:textId="77777777" w:rsidR="006706FA" w:rsidRDefault="006706FA" w:rsidP="00683244">
      <w:r>
        <w:separator/>
      </w:r>
    </w:p>
  </w:endnote>
  <w:endnote w:type="continuationSeparator" w:id="0">
    <w:p w14:paraId="34F13144" w14:textId="77777777" w:rsidR="006706FA" w:rsidRDefault="006706FA" w:rsidP="0068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13145" w14:textId="77777777" w:rsidR="00B12B21" w:rsidRDefault="00B12B21" w:rsidP="00683244">
    <w:pPr>
      <w:pStyle w:val="Footer"/>
    </w:pPr>
    <w:r>
      <w:rPr>
        <w:noProof/>
      </w:rPr>
      <w:drawing>
        <wp:inline distT="0" distB="0" distL="0" distR="0" wp14:anchorId="34F13149" wp14:editId="34F1314A">
          <wp:extent cx="7772400" cy="524253"/>
          <wp:effectExtent l="0" t="0" r="0" b="9525"/>
          <wp:docPr id="25" name="Picture 25" descr="Hard Disk:Users:mbiewener:Desktop:TEMPLATE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rd Disk:Users:mbiewener:Desktop:TEMPLATE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2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13146" w14:textId="77777777" w:rsidR="00B12B21" w:rsidRDefault="00B12B21" w:rsidP="00683244">
    <w:pPr>
      <w:pStyle w:val="Foot"/>
    </w:pPr>
    <w:r>
      <w:rPr>
        <w:noProof/>
      </w:rPr>
      <w:drawing>
        <wp:inline distT="0" distB="0" distL="0" distR="0" wp14:anchorId="34F1314B" wp14:editId="34F1314C">
          <wp:extent cx="7772400" cy="524253"/>
          <wp:effectExtent l="0" t="0" r="0" b="9525"/>
          <wp:docPr id="26" name="Picture 26" descr="Hard Disk:Users:mbiewener:Desktop:TEMPLATE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rd Disk:Users:mbiewener:Desktop:TEMPLATE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2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13148" w14:textId="77777777" w:rsidR="00B12B21" w:rsidRDefault="00B12B21" w:rsidP="00683244">
    <w:pPr>
      <w:pStyle w:val="Foot"/>
    </w:pPr>
    <w:r>
      <w:rPr>
        <w:noProof/>
      </w:rPr>
      <w:drawing>
        <wp:inline distT="0" distB="0" distL="0" distR="0" wp14:anchorId="34F1314F" wp14:editId="34F13150">
          <wp:extent cx="7772400" cy="524253"/>
          <wp:effectExtent l="0" t="0" r="0" b="9525"/>
          <wp:docPr id="24" name="Picture 24" descr="Hard Disk:Users:mbiewener:Desktop:TEMPLATE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d Disk:Users:mbiewener:Desktop:TEMPLATE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24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3141" w14:textId="77777777" w:rsidR="006706FA" w:rsidRDefault="006706FA" w:rsidP="00683244">
      <w:r>
        <w:separator/>
      </w:r>
    </w:p>
  </w:footnote>
  <w:footnote w:type="continuationSeparator" w:id="0">
    <w:p w14:paraId="34F13142" w14:textId="77777777" w:rsidR="006706FA" w:rsidRDefault="006706FA" w:rsidP="006832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13147" w14:textId="77777777" w:rsidR="00B12B21" w:rsidRDefault="00B12B21" w:rsidP="00683244">
    <w:pPr>
      <w:pStyle w:val="Head"/>
    </w:pPr>
    <w:r>
      <w:drawing>
        <wp:inline distT="0" distB="0" distL="0" distR="0" wp14:anchorId="34F1314D" wp14:editId="34F1314E">
          <wp:extent cx="7772400" cy="1831342"/>
          <wp:effectExtent l="0" t="0" r="0" b="0"/>
          <wp:docPr id="27" name="Picture 27" descr="Hard Disk:Users:mbiewener:Desktop:TEMPLATE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ard Disk:Users:mbiewener:Desktop:TEMPLATE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3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6CE4"/>
    <w:multiLevelType w:val="hybridMultilevel"/>
    <w:tmpl w:val="8BBE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21"/>
    <w:rsid w:val="00085DCF"/>
    <w:rsid w:val="005D5CDC"/>
    <w:rsid w:val="006706FA"/>
    <w:rsid w:val="00683244"/>
    <w:rsid w:val="006E2CA2"/>
    <w:rsid w:val="00777DBB"/>
    <w:rsid w:val="007F4750"/>
    <w:rsid w:val="00A0007A"/>
    <w:rsid w:val="00A7103A"/>
    <w:rsid w:val="00B12B21"/>
    <w:rsid w:val="00B33C6E"/>
    <w:rsid w:val="00BF4EA6"/>
    <w:rsid w:val="00C40CAD"/>
    <w:rsid w:val="00E97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F13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44"/>
    <w:pPr>
      <w:spacing w:after="20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B21"/>
    <w:pPr>
      <w:outlineLvl w:val="0"/>
    </w:pPr>
    <w:rPr>
      <w:sz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2B21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21"/>
  </w:style>
  <w:style w:type="paragraph" w:styleId="Footer">
    <w:name w:val="footer"/>
    <w:basedOn w:val="Normal"/>
    <w:link w:val="FooterChar"/>
    <w:uiPriority w:val="99"/>
    <w:unhideWhenUsed/>
    <w:rsid w:val="00B12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21"/>
  </w:style>
  <w:style w:type="paragraph" w:styleId="BalloonText">
    <w:name w:val="Balloon Text"/>
    <w:basedOn w:val="Normal"/>
    <w:link w:val="BalloonTextChar"/>
    <w:uiPriority w:val="99"/>
    <w:semiHidden/>
    <w:unhideWhenUsed/>
    <w:rsid w:val="00B12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21"/>
    <w:rPr>
      <w:rFonts w:ascii="Lucida Grande" w:hAnsi="Lucida Grande" w:cs="Lucida Grande"/>
      <w:sz w:val="18"/>
      <w:szCs w:val="18"/>
    </w:rPr>
  </w:style>
  <w:style w:type="paragraph" w:customStyle="1" w:styleId="Head">
    <w:name w:val="Head"/>
    <w:basedOn w:val="Header"/>
    <w:qFormat/>
    <w:rsid w:val="00683244"/>
    <w:pPr>
      <w:spacing w:after="0"/>
      <w:ind w:left="-1440"/>
    </w:pPr>
    <w:rPr>
      <w:noProof/>
    </w:rPr>
  </w:style>
  <w:style w:type="paragraph" w:customStyle="1" w:styleId="Foot">
    <w:name w:val="Foot"/>
    <w:basedOn w:val="Footer"/>
    <w:qFormat/>
    <w:rsid w:val="00683244"/>
    <w:pPr>
      <w:spacing w:after="0"/>
      <w:ind w:left="-1440"/>
    </w:pPr>
  </w:style>
  <w:style w:type="character" w:customStyle="1" w:styleId="Heading1Char">
    <w:name w:val="Heading 1 Char"/>
    <w:basedOn w:val="DefaultParagraphFont"/>
    <w:link w:val="Heading1"/>
    <w:uiPriority w:val="9"/>
    <w:rsid w:val="00B12B21"/>
    <w:rPr>
      <w:rFonts w:ascii="Arial" w:hAnsi="Arial" w:cs="Arial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12B21"/>
    <w:rPr>
      <w:rFonts w:ascii="Arial" w:hAnsi="Arial" w:cs="Arial"/>
      <w:b/>
      <w:sz w:val="28"/>
    </w:rPr>
  </w:style>
  <w:style w:type="paragraph" w:styleId="Title">
    <w:name w:val="Title"/>
    <w:basedOn w:val="Heading2"/>
    <w:next w:val="Normal"/>
    <w:link w:val="TitleChar"/>
    <w:uiPriority w:val="10"/>
    <w:qFormat/>
    <w:rsid w:val="00B12B21"/>
    <w:pPr>
      <w:spacing w:after="600"/>
      <w:jc w:val="center"/>
    </w:pPr>
    <w:rPr>
      <w:color w:val="C0504D" w:themeColor="accent2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12B21"/>
    <w:rPr>
      <w:rFonts w:ascii="Arial" w:hAnsi="Arial" w:cs="Arial"/>
      <w:b/>
      <w:color w:val="C0504D" w:themeColor="accent2"/>
      <w:sz w:val="48"/>
    </w:rPr>
  </w:style>
  <w:style w:type="paragraph" w:styleId="Subtitle">
    <w:name w:val="Subtitle"/>
    <w:basedOn w:val="Title"/>
    <w:next w:val="Normal"/>
    <w:link w:val="SubtitleChar"/>
    <w:uiPriority w:val="11"/>
    <w:qFormat/>
    <w:rsid w:val="00B12B21"/>
    <w:pPr>
      <w:spacing w:after="240"/>
    </w:pPr>
    <w:rPr>
      <w:color w:val="auto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B21"/>
    <w:rPr>
      <w:rFonts w:ascii="Arial" w:hAnsi="Arial" w:cs="Arial"/>
      <w:b/>
      <w:sz w:val="28"/>
    </w:rPr>
  </w:style>
  <w:style w:type="table" w:customStyle="1" w:styleId="TableGrid1">
    <w:name w:val="Table Grid1"/>
    <w:basedOn w:val="TableNormal"/>
    <w:next w:val="TableGrid"/>
    <w:uiPriority w:val="59"/>
    <w:rsid w:val="00B33C6E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B33C6E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3C6E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B33C6E"/>
    <w:rPr>
      <w:color w:val="0000FF"/>
      <w:u w:val="single"/>
    </w:rPr>
  </w:style>
  <w:style w:type="table" w:styleId="TableGrid">
    <w:name w:val="Table Grid"/>
    <w:basedOn w:val="TableNormal"/>
    <w:uiPriority w:val="59"/>
    <w:rsid w:val="00B3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B33C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44"/>
    <w:pPr>
      <w:spacing w:after="20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B21"/>
    <w:pPr>
      <w:outlineLvl w:val="0"/>
    </w:pPr>
    <w:rPr>
      <w:sz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2B21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B21"/>
  </w:style>
  <w:style w:type="paragraph" w:styleId="Footer">
    <w:name w:val="footer"/>
    <w:basedOn w:val="Normal"/>
    <w:link w:val="FooterChar"/>
    <w:uiPriority w:val="99"/>
    <w:unhideWhenUsed/>
    <w:rsid w:val="00B12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B21"/>
  </w:style>
  <w:style w:type="paragraph" w:styleId="BalloonText">
    <w:name w:val="Balloon Text"/>
    <w:basedOn w:val="Normal"/>
    <w:link w:val="BalloonTextChar"/>
    <w:uiPriority w:val="99"/>
    <w:semiHidden/>
    <w:unhideWhenUsed/>
    <w:rsid w:val="00B12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21"/>
    <w:rPr>
      <w:rFonts w:ascii="Lucida Grande" w:hAnsi="Lucida Grande" w:cs="Lucida Grande"/>
      <w:sz w:val="18"/>
      <w:szCs w:val="18"/>
    </w:rPr>
  </w:style>
  <w:style w:type="paragraph" w:customStyle="1" w:styleId="Head">
    <w:name w:val="Head"/>
    <w:basedOn w:val="Header"/>
    <w:qFormat/>
    <w:rsid w:val="00683244"/>
    <w:pPr>
      <w:spacing w:after="0"/>
      <w:ind w:left="-1440"/>
    </w:pPr>
    <w:rPr>
      <w:noProof/>
    </w:rPr>
  </w:style>
  <w:style w:type="paragraph" w:customStyle="1" w:styleId="Foot">
    <w:name w:val="Foot"/>
    <w:basedOn w:val="Footer"/>
    <w:qFormat/>
    <w:rsid w:val="00683244"/>
    <w:pPr>
      <w:spacing w:after="0"/>
      <w:ind w:left="-1440"/>
    </w:pPr>
  </w:style>
  <w:style w:type="character" w:customStyle="1" w:styleId="Heading1Char">
    <w:name w:val="Heading 1 Char"/>
    <w:basedOn w:val="DefaultParagraphFont"/>
    <w:link w:val="Heading1"/>
    <w:uiPriority w:val="9"/>
    <w:rsid w:val="00B12B21"/>
    <w:rPr>
      <w:rFonts w:ascii="Arial" w:hAnsi="Arial" w:cs="Arial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12B21"/>
    <w:rPr>
      <w:rFonts w:ascii="Arial" w:hAnsi="Arial" w:cs="Arial"/>
      <w:b/>
      <w:sz w:val="28"/>
    </w:rPr>
  </w:style>
  <w:style w:type="paragraph" w:styleId="Title">
    <w:name w:val="Title"/>
    <w:basedOn w:val="Heading2"/>
    <w:next w:val="Normal"/>
    <w:link w:val="TitleChar"/>
    <w:uiPriority w:val="10"/>
    <w:qFormat/>
    <w:rsid w:val="00B12B21"/>
    <w:pPr>
      <w:spacing w:after="600"/>
      <w:jc w:val="center"/>
    </w:pPr>
    <w:rPr>
      <w:color w:val="C0504D" w:themeColor="accent2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B12B21"/>
    <w:rPr>
      <w:rFonts w:ascii="Arial" w:hAnsi="Arial" w:cs="Arial"/>
      <w:b/>
      <w:color w:val="C0504D" w:themeColor="accent2"/>
      <w:sz w:val="48"/>
    </w:rPr>
  </w:style>
  <w:style w:type="paragraph" w:styleId="Subtitle">
    <w:name w:val="Subtitle"/>
    <w:basedOn w:val="Title"/>
    <w:next w:val="Normal"/>
    <w:link w:val="SubtitleChar"/>
    <w:uiPriority w:val="11"/>
    <w:qFormat/>
    <w:rsid w:val="00B12B21"/>
    <w:pPr>
      <w:spacing w:after="240"/>
    </w:pPr>
    <w:rPr>
      <w:color w:val="auto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B21"/>
    <w:rPr>
      <w:rFonts w:ascii="Arial" w:hAnsi="Arial" w:cs="Arial"/>
      <w:b/>
      <w:sz w:val="28"/>
    </w:rPr>
  </w:style>
  <w:style w:type="table" w:customStyle="1" w:styleId="TableGrid1">
    <w:name w:val="Table Grid1"/>
    <w:basedOn w:val="TableNormal"/>
    <w:next w:val="TableGrid"/>
    <w:uiPriority w:val="59"/>
    <w:rsid w:val="00B33C6E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B33C6E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3C6E"/>
    <w:rPr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B33C6E"/>
    <w:rPr>
      <w:color w:val="0000FF"/>
      <w:u w:val="single"/>
    </w:rPr>
  </w:style>
  <w:style w:type="table" w:styleId="TableGrid">
    <w:name w:val="Table Grid"/>
    <w:basedOn w:val="TableNormal"/>
    <w:uiPriority w:val="59"/>
    <w:rsid w:val="00B33C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B33C6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hyperlink" Target="http://www.oas.samhsa.gov/2k9State/WebOnlyTables/stateTabs.htm" TargetMode="External"/><Relationship Id="rId13" Type="http://schemas.openxmlformats.org/officeDocument/2006/relationships/hyperlink" Target="http://www.cdc.gov/nchs/data/databriefs/db22.pdf" TargetMode="External"/><Relationship Id="rId14" Type="http://schemas.openxmlformats.org/officeDocument/2006/relationships/hyperlink" Target="http://www.oas.samhsa.gov/2k9State/WebOnlyTables/stateTabs.htm" TargetMode="External"/><Relationship Id="rId15" Type="http://schemas.openxmlformats.org/officeDocument/2006/relationships/hyperlink" Target="http://www.cdc.gov/nchs/data/databriefs/db22.pdf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1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D4FDEB8360B4EBA9B80FC32D968F2" ma:contentTypeVersion="0" ma:contentTypeDescription="Create a new document." ma:contentTypeScope="" ma:versionID="bf415799592f6ea966952e5bfd52a19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56372D3-16E2-4F67-B711-5FE2037B259C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523BD7-B535-404B-97A1-44F71A94A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F8C3B-F441-453E-B647-A211D2758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Biewener</dc:creator>
  <cp:lastModifiedBy>Krystal Lokkesmoe</cp:lastModifiedBy>
  <cp:revision>2</cp:revision>
  <cp:lastPrinted>2012-07-11T19:41:00Z</cp:lastPrinted>
  <dcterms:created xsi:type="dcterms:W3CDTF">2015-08-24T14:15:00Z</dcterms:created>
  <dcterms:modified xsi:type="dcterms:W3CDTF">2015-08-24T14:15:00Z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0x010100618D4FDEB8360B4EBA9B80FC32D968F2</vt:lpwstr>
  </property>
  <property fmtid="{D5CDD505-2E9C-101B-9397-08002B2CF9AE}" pid="3" name="Section">
    <vt:lpwstr>Events</vt:lpwstr>
  </property>
</Properties>
</file>